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4736BAA1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616C9C">
        <w:rPr>
          <w:rFonts w:ascii="Calibri" w:hAnsi="Calibri"/>
          <w:b/>
          <w:bCs/>
          <w:sz w:val="22"/>
          <w:szCs w:val="22"/>
        </w:rPr>
        <w:t>6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40AED3E6" w14:textId="77777777" w:rsidR="00616C9C" w:rsidRDefault="00EE1436" w:rsidP="00616C9C">
      <w:pPr>
        <w:spacing w:line="276" w:lineRule="auto"/>
        <w:rPr>
          <w:rFonts w:ascii="Arial Narrow" w:hAnsi="Arial Narrow"/>
          <w:b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616C9C">
        <w:rPr>
          <w:b/>
          <w:sz w:val="24"/>
        </w:rPr>
        <w:t>Promocja miasta Ostrowca Świętokrzyskiego poprzez sport</w:t>
      </w:r>
    </w:p>
    <w:p w14:paraId="6F93A82C" w14:textId="7A1632FC" w:rsidR="00A410DE" w:rsidRDefault="00A410DE" w:rsidP="00A410DE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43CE9555" w14:textId="036FB587" w:rsidR="00C964B0" w:rsidRPr="00687FE8" w:rsidRDefault="00C964B0" w:rsidP="00A410DE">
      <w:pPr>
        <w:spacing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  <w:bookmarkStart w:id="0" w:name="_GoBack"/>
      <w:bookmarkEnd w:id="0"/>
    </w:p>
    <w:sectPr w:rsidR="0044059E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D00BA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B0D95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5308"/>
    <w:rsid w:val="00416537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16C9C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15FEF"/>
    <w:rsid w:val="00937444"/>
    <w:rsid w:val="009434E2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0DE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20D83-3D27-4B61-B935-75DAB4417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3</cp:revision>
  <cp:lastPrinted>2022-09-07T11:44:00Z</cp:lastPrinted>
  <dcterms:created xsi:type="dcterms:W3CDTF">2024-08-20T12:25:00Z</dcterms:created>
  <dcterms:modified xsi:type="dcterms:W3CDTF">2024-08-20T12:26:00Z</dcterms:modified>
</cp:coreProperties>
</file>