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691"/>
        <w:gridCol w:w="2016"/>
        <w:gridCol w:w="4243"/>
        <w:gridCol w:w="2919"/>
      </w:tblGrid>
      <w:tr w:rsidR="00292FE3" w:rsidRPr="00D46B97" w:rsidTr="0021077F">
        <w:trPr>
          <w:trHeight w:val="499"/>
        </w:trPr>
        <w:tc>
          <w:tcPr>
            <w:tcW w:w="9869" w:type="dxa"/>
            <w:gridSpan w:val="4"/>
            <w:tcBorders>
              <w:top w:val="nil"/>
              <w:left w:val="nil"/>
              <w:bottom w:val="nil"/>
              <w:right w:val="nil"/>
            </w:tcBorders>
            <w:shd w:val="clear" w:color="auto" w:fill="FFFFFF"/>
            <w:vAlign w:val="center"/>
          </w:tcPr>
          <w:p w:rsidR="00292FE3" w:rsidRPr="00D46B97" w:rsidRDefault="00292FE3" w:rsidP="00292FE3">
            <w:pPr>
              <w:jc w:val="center"/>
            </w:pPr>
            <w:r w:rsidRPr="00D46B97">
              <w:rPr>
                <w:rStyle w:val="Teksttreci29"/>
                <w:color w:val="000000"/>
              </w:rPr>
              <w:t>INFORMACJA DODATKOWA</w:t>
            </w:r>
          </w:p>
        </w:tc>
      </w:tr>
      <w:tr w:rsidR="00292FE3" w:rsidRPr="00D46B97" w:rsidTr="0021077F">
        <w:trPr>
          <w:trHeight w:val="394"/>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Pogrubienie"/>
                <w:color w:val="000000"/>
              </w:rPr>
              <w:t>I.</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Pogrubienie"/>
                <w:color w:val="000000"/>
              </w:rPr>
              <w:t>Wprowadzenie do sprawozdania finansowego, obejmuje w szczególności:</w:t>
            </w:r>
          </w:p>
        </w:tc>
      </w:tr>
      <w:tr w:rsidR="00292FE3" w:rsidRPr="00D46B97" w:rsidTr="0021077F">
        <w:trPr>
          <w:trHeight w:val="365"/>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spacing w:after="0" w:line="240" w:lineRule="auto"/>
              <w:ind w:left="28" w:right="28" w:firstLine="93"/>
              <w:rPr>
                <w:sz w:val="10"/>
                <w:szCs w:val="10"/>
              </w:rPr>
            </w:pP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nazwę jednostki</w:t>
            </w:r>
          </w:p>
        </w:tc>
      </w:tr>
      <w:tr w:rsidR="00292FE3" w:rsidRPr="00D46B97" w:rsidTr="005D2C8E">
        <w:trPr>
          <w:trHeight w:val="35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rStyle w:val="Teksttreci29"/>
                <w:color w:val="00000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FE649B" w:rsidP="00812905">
            <w:pPr>
              <w:spacing w:after="0" w:line="240" w:lineRule="auto"/>
              <w:ind w:left="28" w:right="28" w:firstLine="93"/>
              <w:rPr>
                <w:rStyle w:val="Teksttreci29"/>
                <w:color w:val="000000"/>
              </w:rPr>
            </w:pPr>
            <w:r>
              <w:rPr>
                <w:rStyle w:val="Teksttreci29"/>
                <w:color w:val="000000"/>
              </w:rPr>
              <w:t>Urząd Miasta w Ostrowcu Świętokrzyskim</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siedzibę jednostki</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FE649B" w:rsidRDefault="00FE649B" w:rsidP="00812905">
            <w:pPr>
              <w:spacing w:after="0" w:line="240" w:lineRule="auto"/>
              <w:ind w:left="28" w:right="28" w:firstLine="93"/>
              <w:rPr>
                <w:rFonts w:ascii="Times New Roman" w:hAnsi="Times New Roman"/>
                <w:sz w:val="19"/>
                <w:szCs w:val="19"/>
              </w:rPr>
            </w:pPr>
            <w:r>
              <w:rPr>
                <w:rFonts w:ascii="Times New Roman" w:hAnsi="Times New Roman"/>
                <w:sz w:val="19"/>
                <w:szCs w:val="19"/>
              </w:rPr>
              <w:t>u</w:t>
            </w:r>
            <w:r w:rsidRPr="00FE649B">
              <w:rPr>
                <w:rFonts w:ascii="Times New Roman" w:hAnsi="Times New Roman"/>
                <w:sz w:val="19"/>
                <w:szCs w:val="19"/>
              </w:rPr>
              <w:t xml:space="preserve">l. Jana </w:t>
            </w:r>
            <w:r>
              <w:rPr>
                <w:rFonts w:ascii="Times New Roman" w:hAnsi="Times New Roman"/>
                <w:sz w:val="19"/>
                <w:szCs w:val="19"/>
              </w:rPr>
              <w:t>Głogowskiego 3/5, 27-400 Ostrowiec Świętokrzyski</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1.3</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adres jednostki</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FE649B" w:rsidRPr="00FE649B" w:rsidRDefault="00FE649B" w:rsidP="00FE649B">
            <w:pPr>
              <w:spacing w:after="0" w:line="240" w:lineRule="auto"/>
              <w:ind w:left="28" w:right="28" w:firstLine="93"/>
              <w:rPr>
                <w:rFonts w:ascii="Times New Roman" w:hAnsi="Times New Roman"/>
                <w:sz w:val="19"/>
                <w:szCs w:val="19"/>
              </w:rPr>
            </w:pPr>
            <w:r>
              <w:rPr>
                <w:rFonts w:ascii="Times New Roman" w:hAnsi="Times New Roman"/>
                <w:sz w:val="19"/>
                <w:szCs w:val="19"/>
              </w:rPr>
              <w:t>u</w:t>
            </w:r>
            <w:r w:rsidRPr="00FE649B">
              <w:rPr>
                <w:rFonts w:ascii="Times New Roman" w:hAnsi="Times New Roman"/>
                <w:sz w:val="19"/>
                <w:szCs w:val="19"/>
              </w:rPr>
              <w:t xml:space="preserve">l. Jana </w:t>
            </w:r>
            <w:r>
              <w:rPr>
                <w:rFonts w:ascii="Times New Roman" w:hAnsi="Times New Roman"/>
                <w:sz w:val="19"/>
                <w:szCs w:val="19"/>
              </w:rPr>
              <w:t>Głogowskiego 3/5, 27-400 Ostrowiec Świętokrzyski</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1.4</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podstawowy przedmiot działalności jednostki</w:t>
            </w:r>
          </w:p>
        </w:tc>
      </w:tr>
      <w:tr w:rsidR="00292FE3" w:rsidRPr="00D46B97" w:rsidTr="0021077F">
        <w:trPr>
          <w:trHeight w:val="352"/>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FE649B" w:rsidRDefault="00FE649B" w:rsidP="00812905">
            <w:pPr>
              <w:spacing w:after="0" w:line="240" w:lineRule="auto"/>
              <w:ind w:left="28" w:right="28" w:firstLine="93"/>
              <w:rPr>
                <w:rFonts w:ascii="Times New Roman" w:hAnsi="Times New Roman"/>
                <w:sz w:val="19"/>
                <w:szCs w:val="19"/>
              </w:rPr>
            </w:pPr>
            <w:r>
              <w:rPr>
                <w:rFonts w:ascii="Times New Roman" w:hAnsi="Times New Roman"/>
                <w:sz w:val="19"/>
                <w:szCs w:val="19"/>
              </w:rPr>
              <w:t xml:space="preserve">Kierowanie podstawowymi rodzajami działalności publicznej </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wskazanie okresu objętego sprawozdaniem</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FE649B" w:rsidRDefault="00FE649B" w:rsidP="00F51E09">
            <w:pPr>
              <w:spacing w:after="0" w:line="240" w:lineRule="auto"/>
              <w:ind w:left="28" w:right="28" w:firstLine="93"/>
              <w:rPr>
                <w:rFonts w:ascii="Times New Roman" w:hAnsi="Times New Roman"/>
                <w:sz w:val="19"/>
                <w:szCs w:val="19"/>
              </w:rPr>
            </w:pPr>
            <w:r>
              <w:rPr>
                <w:rFonts w:ascii="Times New Roman" w:hAnsi="Times New Roman"/>
                <w:sz w:val="19"/>
                <w:szCs w:val="19"/>
              </w:rPr>
              <w:t>01.01.20</w:t>
            </w:r>
            <w:r w:rsidR="00F64A1A">
              <w:rPr>
                <w:rFonts w:ascii="Times New Roman" w:hAnsi="Times New Roman"/>
                <w:sz w:val="19"/>
                <w:szCs w:val="19"/>
              </w:rPr>
              <w:t>2</w:t>
            </w:r>
            <w:r w:rsidR="0078680B">
              <w:rPr>
                <w:rFonts w:ascii="Times New Roman" w:hAnsi="Times New Roman"/>
                <w:sz w:val="19"/>
                <w:szCs w:val="19"/>
              </w:rPr>
              <w:t>3</w:t>
            </w:r>
            <w:r w:rsidR="00572FCB">
              <w:rPr>
                <w:rFonts w:ascii="Times New Roman" w:hAnsi="Times New Roman"/>
                <w:sz w:val="19"/>
                <w:szCs w:val="19"/>
              </w:rPr>
              <w:t xml:space="preserve"> </w:t>
            </w:r>
            <w:r>
              <w:rPr>
                <w:rFonts w:ascii="Times New Roman" w:hAnsi="Times New Roman"/>
                <w:sz w:val="19"/>
                <w:szCs w:val="19"/>
              </w:rPr>
              <w:t>r. – 31.12.20</w:t>
            </w:r>
            <w:r w:rsidR="00F64A1A">
              <w:rPr>
                <w:rFonts w:ascii="Times New Roman" w:hAnsi="Times New Roman"/>
                <w:sz w:val="19"/>
                <w:szCs w:val="19"/>
              </w:rPr>
              <w:t>2</w:t>
            </w:r>
            <w:r w:rsidR="0078680B">
              <w:rPr>
                <w:rFonts w:ascii="Times New Roman" w:hAnsi="Times New Roman"/>
                <w:sz w:val="19"/>
                <w:szCs w:val="19"/>
              </w:rPr>
              <w:t>3</w:t>
            </w:r>
            <w:r w:rsidR="00572FCB">
              <w:rPr>
                <w:rFonts w:ascii="Times New Roman" w:hAnsi="Times New Roman"/>
                <w:sz w:val="19"/>
                <w:szCs w:val="19"/>
              </w:rPr>
              <w:t xml:space="preserve"> </w:t>
            </w:r>
            <w:r>
              <w:rPr>
                <w:rFonts w:ascii="Times New Roman" w:hAnsi="Times New Roman"/>
                <w:sz w:val="19"/>
                <w:szCs w:val="19"/>
              </w:rPr>
              <w:t>r.</w:t>
            </w:r>
          </w:p>
        </w:tc>
      </w:tr>
      <w:tr w:rsidR="00292FE3" w:rsidRPr="00D46B97" w:rsidTr="005D2C8E">
        <w:trPr>
          <w:trHeight w:val="552"/>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3.</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121" w:right="28"/>
            </w:pPr>
            <w:r w:rsidRPr="00D46B97">
              <w:rPr>
                <w:rStyle w:val="Teksttreci29"/>
                <w:color w:val="000000"/>
              </w:rPr>
              <w:t>wskazanie, że sprawozdanie finansowe zawiera dane łączne</w:t>
            </w:r>
          </w:p>
        </w:tc>
      </w:tr>
      <w:tr w:rsidR="00292FE3" w:rsidRPr="00D46B97" w:rsidTr="0021077F">
        <w:trPr>
          <w:trHeight w:val="249"/>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FE649B" w:rsidRDefault="00FE649B" w:rsidP="00812905">
            <w:pPr>
              <w:spacing w:after="0" w:line="240" w:lineRule="auto"/>
              <w:ind w:left="28" w:right="28" w:firstLine="93"/>
              <w:rPr>
                <w:rFonts w:ascii="Times New Roman" w:hAnsi="Times New Roman"/>
                <w:sz w:val="19"/>
                <w:szCs w:val="19"/>
              </w:rPr>
            </w:pPr>
            <w:r>
              <w:rPr>
                <w:rFonts w:ascii="Times New Roman" w:hAnsi="Times New Roman"/>
                <w:sz w:val="19"/>
                <w:szCs w:val="19"/>
              </w:rPr>
              <w:t>NIE</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4.</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781614">
            <w:pPr>
              <w:pStyle w:val="Teksttreci20"/>
              <w:shd w:val="clear" w:color="auto" w:fill="auto"/>
              <w:ind w:left="121" w:right="28"/>
            </w:pPr>
            <w:r w:rsidRPr="00D46B97">
              <w:rPr>
                <w:rStyle w:val="Teksttreci29"/>
                <w:color w:val="000000"/>
              </w:rPr>
              <w:t>omówienie przyjętych zasad (polityki) rachunkowości, w tym metod wyceny aktywów i pasywów (także</w:t>
            </w:r>
            <w:r w:rsidR="00781614" w:rsidRPr="00D46B97">
              <w:rPr>
                <w:rStyle w:val="Teksttreci29"/>
                <w:color w:val="000000"/>
              </w:rPr>
              <w:br/>
            </w:r>
            <w:r w:rsidRPr="00D46B97">
              <w:rPr>
                <w:rStyle w:val="Teksttreci29"/>
                <w:color w:val="000000"/>
              </w:rPr>
              <w:t>amortyzacji)</w:t>
            </w:r>
          </w:p>
        </w:tc>
      </w:tr>
      <w:tr w:rsidR="00292FE3" w:rsidRPr="00D46B97" w:rsidTr="0021077F">
        <w:trPr>
          <w:trHeight w:val="766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Default="00DE7D6D" w:rsidP="00451110">
            <w:pPr>
              <w:pStyle w:val="Akapitzlist"/>
              <w:numPr>
                <w:ilvl w:val="0"/>
                <w:numId w:val="1"/>
              </w:numPr>
              <w:spacing w:after="0" w:line="240" w:lineRule="auto"/>
              <w:ind w:right="28"/>
              <w:rPr>
                <w:rFonts w:ascii="Times New Roman" w:hAnsi="Times New Roman"/>
                <w:sz w:val="19"/>
                <w:szCs w:val="19"/>
              </w:rPr>
            </w:pPr>
            <w:r>
              <w:rPr>
                <w:rFonts w:ascii="Times New Roman" w:hAnsi="Times New Roman"/>
                <w:sz w:val="19"/>
                <w:szCs w:val="19"/>
              </w:rPr>
              <w:t>Stosowane przez jednostkę zasady wyceny a</w:t>
            </w:r>
            <w:r w:rsidR="00FE649B" w:rsidRPr="00451110">
              <w:rPr>
                <w:rFonts w:ascii="Times New Roman" w:hAnsi="Times New Roman"/>
                <w:sz w:val="19"/>
                <w:szCs w:val="19"/>
              </w:rPr>
              <w:t>ktyw</w:t>
            </w:r>
            <w:r>
              <w:rPr>
                <w:rFonts w:ascii="Times New Roman" w:hAnsi="Times New Roman"/>
                <w:sz w:val="19"/>
                <w:szCs w:val="19"/>
              </w:rPr>
              <w:t>ów</w:t>
            </w:r>
            <w:r w:rsidR="00FE649B" w:rsidRPr="00451110">
              <w:rPr>
                <w:rFonts w:ascii="Times New Roman" w:hAnsi="Times New Roman"/>
                <w:sz w:val="19"/>
                <w:szCs w:val="19"/>
              </w:rPr>
              <w:t xml:space="preserve"> i pasyw</w:t>
            </w:r>
            <w:r>
              <w:rPr>
                <w:rFonts w:ascii="Times New Roman" w:hAnsi="Times New Roman"/>
                <w:sz w:val="19"/>
                <w:szCs w:val="19"/>
              </w:rPr>
              <w:t>ów wynikają</w:t>
            </w:r>
            <w:r w:rsidR="007C7EB6">
              <w:rPr>
                <w:rFonts w:ascii="Times New Roman" w:hAnsi="Times New Roman"/>
                <w:sz w:val="19"/>
                <w:szCs w:val="19"/>
              </w:rPr>
              <w:t xml:space="preserve"> z</w:t>
            </w:r>
            <w:r w:rsidR="00FE649B" w:rsidRPr="00451110">
              <w:rPr>
                <w:rFonts w:ascii="Times New Roman" w:hAnsi="Times New Roman"/>
                <w:sz w:val="19"/>
                <w:szCs w:val="19"/>
              </w:rPr>
              <w:t xml:space="preserve"> ustaw</w:t>
            </w:r>
            <w:r>
              <w:rPr>
                <w:rFonts w:ascii="Times New Roman" w:hAnsi="Times New Roman"/>
                <w:sz w:val="19"/>
                <w:szCs w:val="19"/>
              </w:rPr>
              <w:t>y</w:t>
            </w:r>
            <w:r w:rsidR="00FE649B" w:rsidRPr="00451110">
              <w:rPr>
                <w:rFonts w:ascii="Times New Roman" w:hAnsi="Times New Roman"/>
                <w:sz w:val="19"/>
                <w:szCs w:val="19"/>
              </w:rPr>
              <w:t xml:space="preserve"> o rachunkowości, z uwzględnieniem przepisów ustawy o finansach publicznych i rozporządzenia Ministra Rozwoju i Finansów z dnia </w:t>
            </w:r>
            <w:r w:rsidR="00623BC9">
              <w:rPr>
                <w:rFonts w:ascii="Times New Roman" w:hAnsi="Times New Roman"/>
                <w:sz w:val="19"/>
                <w:szCs w:val="19"/>
              </w:rPr>
              <w:t>03 marca 2020</w:t>
            </w:r>
            <w:r w:rsidR="002C33E4">
              <w:rPr>
                <w:rFonts w:ascii="Times New Roman" w:hAnsi="Times New Roman"/>
                <w:sz w:val="19"/>
                <w:szCs w:val="19"/>
              </w:rPr>
              <w:t xml:space="preserve"> </w:t>
            </w:r>
            <w:r w:rsidR="00FE649B" w:rsidRPr="00451110">
              <w:rPr>
                <w:rFonts w:ascii="Times New Roman" w:hAnsi="Times New Roman"/>
                <w:sz w:val="19"/>
                <w:szCs w:val="19"/>
              </w:rPr>
              <w:t xml:space="preserve">r. </w:t>
            </w:r>
            <w:r w:rsidR="00451110" w:rsidRPr="00451110">
              <w:rPr>
                <w:rFonts w:ascii="Times New Roman" w:hAnsi="Times New Roman"/>
                <w:sz w:val="19"/>
                <w:szCs w:val="19"/>
              </w:rPr>
              <w:t xml:space="preserve">w sprawie rachunkowości oraz planów kont dla budżetu państwa, budżetów jednostek samorządu terytorialnego, jednostek budżetowych, samorządowych zakładów budżetowych, państwowych funduszy celowych oraz państwowych jednostek budżetowych mających siedzibę </w:t>
            </w:r>
            <w:r w:rsidR="00FE649B" w:rsidRPr="00451110">
              <w:rPr>
                <w:rFonts w:ascii="Times New Roman" w:hAnsi="Times New Roman"/>
                <w:sz w:val="19"/>
                <w:szCs w:val="19"/>
              </w:rPr>
              <w:t xml:space="preserve"> </w:t>
            </w:r>
            <w:r w:rsidR="00451110" w:rsidRPr="00451110">
              <w:rPr>
                <w:rFonts w:ascii="Times New Roman" w:hAnsi="Times New Roman"/>
                <w:sz w:val="19"/>
                <w:szCs w:val="19"/>
              </w:rPr>
              <w:t>poza granicami Rzeczypospolitej Polskiej.</w:t>
            </w:r>
          </w:p>
          <w:p w:rsidR="00835A39" w:rsidRDefault="00835A39" w:rsidP="00451110">
            <w:pPr>
              <w:pStyle w:val="Akapitzlist"/>
              <w:numPr>
                <w:ilvl w:val="0"/>
                <w:numId w:val="1"/>
              </w:numPr>
              <w:spacing w:after="0" w:line="240" w:lineRule="auto"/>
              <w:ind w:right="28"/>
              <w:rPr>
                <w:rFonts w:ascii="Times New Roman" w:hAnsi="Times New Roman"/>
                <w:sz w:val="19"/>
                <w:szCs w:val="19"/>
              </w:rPr>
            </w:pPr>
            <w:r>
              <w:rPr>
                <w:rFonts w:ascii="Times New Roman" w:hAnsi="Times New Roman"/>
                <w:sz w:val="19"/>
                <w:szCs w:val="19"/>
              </w:rPr>
              <w:t xml:space="preserve">Środki  </w:t>
            </w:r>
            <w:r w:rsidR="003134F6">
              <w:rPr>
                <w:rFonts w:ascii="Times New Roman" w:hAnsi="Times New Roman"/>
                <w:sz w:val="19"/>
                <w:szCs w:val="19"/>
              </w:rPr>
              <w:t xml:space="preserve">trwałe oraz wartości niematerialne i prawne wycenia się według cen nabycia lub kosztów wytworzenia lub wartości przeszacowanej (po aktualizacji wyceny środków trwałych) lub też ceny sprzedaży podobnego lub takiego samego składnika majątku albo według wartości wynikającej z umowy darowizny, albo według wartości określonej w decyzji (środki trwałe stanowiące własność Skarbu Państwa lub jednostek samorządu terytorialnego otrzymane nieodpłatnie, na podstawie decyzji właściwego organu) pomniejszonych o odpisy amortyzacji lub umorzeniowe, a także o odpisy z tytułu trwałej utraty wartości z założeniem, że nowo przyjęte środki trwałe oraz wartości niematerialne i prawne umarza się oraz amortyzuje, począwszy od następnego miesiąca po miesiącu, w którym przyjęto je do używania, </w:t>
            </w:r>
            <w:r w:rsidR="00A2111F">
              <w:rPr>
                <w:rFonts w:ascii="Times New Roman" w:hAnsi="Times New Roman"/>
                <w:sz w:val="19"/>
                <w:szCs w:val="19"/>
              </w:rPr>
              <w:t>a obowiązującą metodą</w:t>
            </w:r>
            <w:r w:rsidR="00774A2F">
              <w:rPr>
                <w:rFonts w:ascii="Times New Roman" w:hAnsi="Times New Roman"/>
                <w:sz w:val="19"/>
                <w:szCs w:val="19"/>
              </w:rPr>
              <w:t xml:space="preserve"> amortyzacji jest metod</w:t>
            </w:r>
            <w:r w:rsidR="00A2111F">
              <w:rPr>
                <w:rFonts w:ascii="Times New Roman" w:hAnsi="Times New Roman"/>
                <w:sz w:val="19"/>
                <w:szCs w:val="19"/>
              </w:rPr>
              <w:t>a</w:t>
            </w:r>
            <w:r w:rsidR="00774A2F">
              <w:rPr>
                <w:rFonts w:ascii="Times New Roman" w:hAnsi="Times New Roman"/>
                <w:sz w:val="19"/>
                <w:szCs w:val="19"/>
              </w:rPr>
              <w:t xml:space="preserve"> liniowa.</w:t>
            </w:r>
          </w:p>
          <w:p w:rsidR="00451110" w:rsidRDefault="00451110" w:rsidP="00451110">
            <w:pPr>
              <w:pStyle w:val="Akapitzlist"/>
              <w:numPr>
                <w:ilvl w:val="0"/>
                <w:numId w:val="1"/>
              </w:numPr>
              <w:spacing w:after="0" w:line="240" w:lineRule="auto"/>
              <w:ind w:right="28"/>
              <w:rPr>
                <w:rFonts w:ascii="Times New Roman" w:hAnsi="Times New Roman"/>
                <w:sz w:val="19"/>
                <w:szCs w:val="19"/>
              </w:rPr>
            </w:pPr>
            <w:r>
              <w:rPr>
                <w:rFonts w:ascii="Times New Roman" w:hAnsi="Times New Roman"/>
                <w:sz w:val="19"/>
                <w:szCs w:val="19"/>
              </w:rPr>
              <w:t>Dla potrzeb ujmowania w księgach środków trwałych oraz wartości niematerialnych i prawnych jednostka przyjęła następujące ustalenia:</w:t>
            </w:r>
          </w:p>
          <w:p w:rsidR="00774A2F" w:rsidRDefault="00451110" w:rsidP="00451110">
            <w:pPr>
              <w:pStyle w:val="Akapitzlist"/>
              <w:numPr>
                <w:ilvl w:val="0"/>
                <w:numId w:val="2"/>
              </w:numPr>
              <w:spacing w:after="0" w:line="240" w:lineRule="auto"/>
              <w:ind w:right="28"/>
              <w:rPr>
                <w:rFonts w:ascii="Times New Roman" w:hAnsi="Times New Roman"/>
                <w:sz w:val="19"/>
                <w:szCs w:val="19"/>
              </w:rPr>
            </w:pPr>
            <w:r w:rsidRPr="00774A2F">
              <w:rPr>
                <w:rFonts w:ascii="Times New Roman" w:hAnsi="Times New Roman"/>
                <w:sz w:val="19"/>
                <w:szCs w:val="19"/>
              </w:rPr>
              <w:t>Środki trwałe o wartości</w:t>
            </w:r>
            <w:r w:rsidR="00774A2F">
              <w:rPr>
                <w:rFonts w:ascii="Times New Roman" w:hAnsi="Times New Roman"/>
                <w:sz w:val="19"/>
                <w:szCs w:val="19"/>
              </w:rPr>
              <w:t xml:space="preserve"> początkowej</w:t>
            </w:r>
            <w:r w:rsidRPr="00774A2F">
              <w:rPr>
                <w:rFonts w:ascii="Times New Roman" w:hAnsi="Times New Roman"/>
                <w:sz w:val="19"/>
                <w:szCs w:val="19"/>
              </w:rPr>
              <w:t xml:space="preserve"> poniżej 10.000,00 zł zalicza się bezpośrednio w koszty. </w:t>
            </w:r>
          </w:p>
          <w:p w:rsidR="00451110" w:rsidRPr="00774A2F" w:rsidRDefault="00451110" w:rsidP="00451110">
            <w:pPr>
              <w:pStyle w:val="Akapitzlist"/>
              <w:numPr>
                <w:ilvl w:val="0"/>
                <w:numId w:val="2"/>
              </w:numPr>
              <w:spacing w:after="0" w:line="240" w:lineRule="auto"/>
              <w:ind w:right="28"/>
              <w:rPr>
                <w:rFonts w:ascii="Times New Roman" w:hAnsi="Times New Roman"/>
                <w:sz w:val="19"/>
                <w:szCs w:val="19"/>
              </w:rPr>
            </w:pPr>
            <w:r w:rsidRPr="00774A2F">
              <w:rPr>
                <w:rFonts w:ascii="Times New Roman" w:hAnsi="Times New Roman"/>
                <w:sz w:val="19"/>
                <w:szCs w:val="19"/>
              </w:rPr>
              <w:t>Składniki majątku o wartości początkowej</w:t>
            </w:r>
            <w:r w:rsidR="0071274A" w:rsidRPr="00774A2F">
              <w:rPr>
                <w:rFonts w:ascii="Times New Roman" w:hAnsi="Times New Roman"/>
                <w:sz w:val="19"/>
                <w:szCs w:val="19"/>
              </w:rPr>
              <w:t xml:space="preserve"> do </w:t>
            </w:r>
            <w:r w:rsidRPr="00774A2F">
              <w:rPr>
                <w:rFonts w:ascii="Times New Roman" w:hAnsi="Times New Roman"/>
                <w:sz w:val="19"/>
                <w:szCs w:val="19"/>
              </w:rPr>
              <w:t xml:space="preserve">10.000,00 zł zalicza się do </w:t>
            </w:r>
            <w:r w:rsidR="005E7D8A">
              <w:rPr>
                <w:rFonts w:ascii="Times New Roman" w:hAnsi="Times New Roman"/>
                <w:sz w:val="19"/>
                <w:szCs w:val="19"/>
              </w:rPr>
              <w:t xml:space="preserve">pozostałych </w:t>
            </w:r>
            <w:r w:rsidRPr="00774A2F">
              <w:rPr>
                <w:rFonts w:ascii="Times New Roman" w:hAnsi="Times New Roman"/>
                <w:sz w:val="19"/>
                <w:szCs w:val="19"/>
              </w:rPr>
              <w:t>środków trwałych lub wartości niematerialnych i prawnych.</w:t>
            </w:r>
            <w:r w:rsidR="0071274A" w:rsidRPr="00774A2F">
              <w:rPr>
                <w:rFonts w:ascii="Times New Roman" w:hAnsi="Times New Roman"/>
                <w:sz w:val="19"/>
                <w:szCs w:val="19"/>
              </w:rPr>
              <w:t xml:space="preserve"> </w:t>
            </w:r>
            <w:r w:rsidR="002674A8" w:rsidRPr="00774A2F">
              <w:rPr>
                <w:rFonts w:ascii="Times New Roman" w:hAnsi="Times New Roman"/>
                <w:sz w:val="19"/>
                <w:szCs w:val="19"/>
              </w:rPr>
              <w:t>Od tego rodzaju składników majątku jednostka dokonuje jednorazowych odpisów amortyzacyjnych lub umorzeniowych w miesiącu przyjęcia do używania,</w:t>
            </w:r>
          </w:p>
          <w:p w:rsidR="002674A8" w:rsidRDefault="002674A8" w:rsidP="00451110">
            <w:pPr>
              <w:pStyle w:val="Akapitzlist"/>
              <w:numPr>
                <w:ilvl w:val="0"/>
                <w:numId w:val="2"/>
              </w:numPr>
              <w:spacing w:after="0" w:line="240" w:lineRule="auto"/>
              <w:ind w:right="28"/>
              <w:rPr>
                <w:rFonts w:ascii="Times New Roman" w:hAnsi="Times New Roman"/>
                <w:sz w:val="19"/>
                <w:szCs w:val="19"/>
              </w:rPr>
            </w:pPr>
            <w:r>
              <w:rPr>
                <w:rFonts w:ascii="Times New Roman" w:hAnsi="Times New Roman"/>
                <w:sz w:val="19"/>
                <w:szCs w:val="19"/>
              </w:rPr>
              <w:t>Jednorazowo, przez spisanie w koszty w miesiącu przyjęcia do używania, umarza się również:</w:t>
            </w:r>
          </w:p>
          <w:p w:rsidR="002674A8" w:rsidRDefault="005201FE" w:rsidP="002674A8">
            <w:pPr>
              <w:pStyle w:val="Akapitzlist"/>
              <w:numPr>
                <w:ilvl w:val="0"/>
                <w:numId w:val="3"/>
              </w:numPr>
              <w:spacing w:after="0" w:line="240" w:lineRule="auto"/>
              <w:ind w:right="28"/>
              <w:rPr>
                <w:rFonts w:ascii="Times New Roman" w:hAnsi="Times New Roman"/>
                <w:sz w:val="19"/>
                <w:szCs w:val="19"/>
              </w:rPr>
            </w:pPr>
            <w:r>
              <w:rPr>
                <w:rFonts w:ascii="Times New Roman" w:hAnsi="Times New Roman"/>
                <w:sz w:val="19"/>
                <w:szCs w:val="19"/>
              </w:rPr>
              <w:t>k</w:t>
            </w:r>
            <w:r w:rsidR="002674A8">
              <w:rPr>
                <w:rFonts w:ascii="Times New Roman" w:hAnsi="Times New Roman"/>
                <w:sz w:val="19"/>
                <w:szCs w:val="19"/>
              </w:rPr>
              <w:t>siążki i inne zbiory biblioteczne ,</w:t>
            </w:r>
          </w:p>
          <w:p w:rsidR="005201FE" w:rsidRDefault="005201FE" w:rsidP="002674A8">
            <w:pPr>
              <w:pStyle w:val="Akapitzlist"/>
              <w:numPr>
                <w:ilvl w:val="0"/>
                <w:numId w:val="3"/>
              </w:numPr>
              <w:spacing w:after="0" w:line="240" w:lineRule="auto"/>
              <w:ind w:right="28"/>
              <w:rPr>
                <w:rFonts w:ascii="Times New Roman" w:hAnsi="Times New Roman"/>
                <w:sz w:val="19"/>
                <w:szCs w:val="19"/>
              </w:rPr>
            </w:pPr>
            <w:r>
              <w:rPr>
                <w:rFonts w:ascii="Times New Roman" w:hAnsi="Times New Roman"/>
                <w:sz w:val="19"/>
                <w:szCs w:val="19"/>
              </w:rPr>
              <w:t>ś</w:t>
            </w:r>
            <w:r w:rsidR="002674A8">
              <w:rPr>
                <w:rFonts w:ascii="Times New Roman" w:hAnsi="Times New Roman"/>
                <w:sz w:val="19"/>
                <w:szCs w:val="19"/>
              </w:rPr>
              <w:t xml:space="preserve">rodki dydaktyczne służące </w:t>
            </w:r>
            <w:r>
              <w:rPr>
                <w:rFonts w:ascii="Times New Roman" w:hAnsi="Times New Roman"/>
                <w:sz w:val="19"/>
                <w:szCs w:val="19"/>
              </w:rPr>
              <w:t xml:space="preserve">procesowi dydaktyczno-wychowawczemu realizowanemu w szkołach i placówkach </w:t>
            </w:r>
          </w:p>
          <w:p w:rsidR="005201FE" w:rsidRDefault="005201FE" w:rsidP="002674A8">
            <w:pPr>
              <w:pStyle w:val="Akapitzlist"/>
              <w:numPr>
                <w:ilvl w:val="0"/>
                <w:numId w:val="3"/>
              </w:numPr>
              <w:spacing w:after="0" w:line="240" w:lineRule="auto"/>
              <w:ind w:right="28"/>
              <w:rPr>
                <w:rFonts w:ascii="Times New Roman" w:hAnsi="Times New Roman"/>
                <w:sz w:val="19"/>
                <w:szCs w:val="19"/>
              </w:rPr>
            </w:pPr>
            <w:r>
              <w:rPr>
                <w:rFonts w:ascii="Times New Roman" w:hAnsi="Times New Roman"/>
                <w:sz w:val="19"/>
                <w:szCs w:val="19"/>
              </w:rPr>
              <w:t>odzież i umundurowanie,</w:t>
            </w:r>
          </w:p>
          <w:p w:rsidR="005201FE" w:rsidRPr="005E7D8A" w:rsidRDefault="005201FE" w:rsidP="005E7D8A">
            <w:pPr>
              <w:pStyle w:val="Akapitzlist"/>
              <w:numPr>
                <w:ilvl w:val="0"/>
                <w:numId w:val="3"/>
              </w:numPr>
              <w:spacing w:after="0" w:line="240" w:lineRule="auto"/>
              <w:ind w:right="28"/>
              <w:rPr>
                <w:rFonts w:ascii="Times New Roman" w:hAnsi="Times New Roman"/>
                <w:sz w:val="19"/>
                <w:szCs w:val="19"/>
              </w:rPr>
            </w:pPr>
            <w:r w:rsidRPr="005E7D8A">
              <w:rPr>
                <w:rFonts w:ascii="Times New Roman" w:hAnsi="Times New Roman"/>
                <w:sz w:val="19"/>
                <w:szCs w:val="19"/>
              </w:rPr>
              <w:t>meble i dywany,</w:t>
            </w:r>
          </w:p>
          <w:p w:rsidR="002674A8" w:rsidRDefault="002674A8" w:rsidP="00451110">
            <w:pPr>
              <w:pStyle w:val="Akapitzlist"/>
              <w:numPr>
                <w:ilvl w:val="0"/>
                <w:numId w:val="2"/>
              </w:numPr>
              <w:spacing w:after="0" w:line="240" w:lineRule="auto"/>
              <w:ind w:right="28"/>
              <w:rPr>
                <w:rFonts w:ascii="Times New Roman" w:hAnsi="Times New Roman"/>
                <w:sz w:val="19"/>
                <w:szCs w:val="19"/>
              </w:rPr>
            </w:pPr>
            <w:r>
              <w:rPr>
                <w:rFonts w:ascii="Times New Roman" w:hAnsi="Times New Roman"/>
                <w:sz w:val="19"/>
                <w:szCs w:val="19"/>
              </w:rPr>
              <w:t xml:space="preserve">Środki trwałe i wartości niematerialne i prawne o wartości początkowej powyżej 10.000,00 zł jednostka wprowadza do ewidencji bilansowej tych aktywów i dokonuje od nich odpisów amortyzacyjnych lub umorzeniowych (za wyjątkiem gruntów). Odpisów umorzeniowych lub amortyzacyjnych dokonuje się według stawek określonych w ustawie z dnia 15 lutego 1992r. o podatku dochodowym od osób prawnych. Wartości niematerialne i prawne umarza się wg stawki  </w:t>
            </w:r>
            <w:r w:rsidR="001E0F8D">
              <w:rPr>
                <w:rFonts w:ascii="Times New Roman" w:hAnsi="Times New Roman"/>
                <w:sz w:val="19"/>
                <w:szCs w:val="19"/>
              </w:rPr>
              <w:t>50%</w:t>
            </w:r>
            <w:r>
              <w:rPr>
                <w:rFonts w:ascii="Times New Roman" w:hAnsi="Times New Roman"/>
                <w:sz w:val="19"/>
                <w:szCs w:val="19"/>
              </w:rPr>
              <w:t xml:space="preserve"> , </w:t>
            </w:r>
            <w:r w:rsidR="001E0F8D">
              <w:rPr>
                <w:rFonts w:ascii="Times New Roman" w:hAnsi="Times New Roman"/>
                <w:sz w:val="19"/>
                <w:szCs w:val="19"/>
              </w:rPr>
              <w:t xml:space="preserve">a </w:t>
            </w:r>
            <w:r>
              <w:rPr>
                <w:rFonts w:ascii="Times New Roman" w:hAnsi="Times New Roman"/>
                <w:sz w:val="19"/>
                <w:szCs w:val="19"/>
              </w:rPr>
              <w:t xml:space="preserve">prawo wieczystego użytkowania gruntów wg stawki </w:t>
            </w:r>
            <w:r w:rsidR="001E0F8D">
              <w:rPr>
                <w:rFonts w:ascii="Times New Roman" w:hAnsi="Times New Roman"/>
                <w:sz w:val="19"/>
                <w:szCs w:val="19"/>
              </w:rPr>
              <w:t>5%</w:t>
            </w:r>
            <w:r>
              <w:rPr>
                <w:rFonts w:ascii="Times New Roman" w:hAnsi="Times New Roman"/>
                <w:sz w:val="19"/>
                <w:szCs w:val="19"/>
              </w:rPr>
              <w:t>.</w:t>
            </w:r>
          </w:p>
          <w:p w:rsidR="002674A8" w:rsidRDefault="002674A8" w:rsidP="00451110">
            <w:pPr>
              <w:pStyle w:val="Akapitzlist"/>
              <w:numPr>
                <w:ilvl w:val="0"/>
                <w:numId w:val="2"/>
              </w:numPr>
              <w:spacing w:after="0" w:line="240" w:lineRule="auto"/>
              <w:ind w:right="28"/>
              <w:rPr>
                <w:rFonts w:ascii="Times New Roman" w:hAnsi="Times New Roman"/>
                <w:sz w:val="19"/>
                <w:szCs w:val="19"/>
              </w:rPr>
            </w:pPr>
            <w:r>
              <w:rPr>
                <w:rFonts w:ascii="Times New Roman" w:hAnsi="Times New Roman"/>
                <w:sz w:val="19"/>
                <w:szCs w:val="19"/>
              </w:rPr>
              <w:t>Wszystkie nakłady na ulepszenie środków trwałych podwyższają wartość początkową tych środków.</w:t>
            </w:r>
          </w:p>
          <w:p w:rsidR="00451110" w:rsidRDefault="00451110" w:rsidP="00451110">
            <w:pPr>
              <w:pStyle w:val="Akapitzlist"/>
              <w:numPr>
                <w:ilvl w:val="0"/>
                <w:numId w:val="1"/>
              </w:numPr>
              <w:spacing w:after="0" w:line="240" w:lineRule="auto"/>
              <w:ind w:right="28"/>
              <w:rPr>
                <w:rFonts w:ascii="Times New Roman" w:hAnsi="Times New Roman"/>
                <w:sz w:val="19"/>
                <w:szCs w:val="19"/>
              </w:rPr>
            </w:pPr>
            <w:r>
              <w:rPr>
                <w:rFonts w:ascii="Times New Roman" w:hAnsi="Times New Roman"/>
                <w:sz w:val="19"/>
                <w:szCs w:val="19"/>
              </w:rPr>
              <w:t>Materiały objęte są ewidencj</w:t>
            </w:r>
            <w:r w:rsidR="00A1614D">
              <w:rPr>
                <w:rFonts w:ascii="Times New Roman" w:hAnsi="Times New Roman"/>
                <w:sz w:val="19"/>
                <w:szCs w:val="19"/>
              </w:rPr>
              <w:t>ą</w:t>
            </w:r>
            <w:r w:rsidR="001E0F8D">
              <w:rPr>
                <w:rFonts w:ascii="Times New Roman" w:hAnsi="Times New Roman"/>
                <w:sz w:val="19"/>
                <w:szCs w:val="19"/>
              </w:rPr>
              <w:t xml:space="preserve"> w</w:t>
            </w:r>
            <w:r>
              <w:rPr>
                <w:rFonts w:ascii="Times New Roman" w:hAnsi="Times New Roman"/>
                <w:sz w:val="19"/>
                <w:szCs w:val="19"/>
              </w:rPr>
              <w:t>artościową</w:t>
            </w:r>
            <w:r w:rsidR="001E0F8D">
              <w:rPr>
                <w:rFonts w:ascii="Times New Roman" w:hAnsi="Times New Roman"/>
                <w:sz w:val="19"/>
                <w:szCs w:val="19"/>
              </w:rPr>
              <w:t>, a wartością obciąża się koszty w momencie zakupu.</w:t>
            </w:r>
          </w:p>
          <w:p w:rsidR="00451110" w:rsidRPr="00E749C4" w:rsidRDefault="00451110" w:rsidP="00E749C4">
            <w:pPr>
              <w:pStyle w:val="Akapitzlist"/>
              <w:spacing w:after="0" w:line="240" w:lineRule="auto"/>
              <w:ind w:left="481" w:right="28"/>
              <w:rPr>
                <w:rFonts w:ascii="Times New Roman" w:hAnsi="Times New Roman"/>
                <w:sz w:val="19"/>
                <w:szCs w:val="19"/>
              </w:rPr>
            </w:pPr>
          </w:p>
          <w:p w:rsidR="005201FE" w:rsidRPr="00451110" w:rsidRDefault="005201FE" w:rsidP="00653DF7">
            <w:pPr>
              <w:pStyle w:val="Akapitzlist"/>
              <w:spacing w:after="0" w:line="240" w:lineRule="auto"/>
              <w:ind w:left="481" w:right="28"/>
              <w:rPr>
                <w:rFonts w:ascii="Times New Roman" w:hAnsi="Times New Roman"/>
                <w:sz w:val="19"/>
                <w:szCs w:val="19"/>
              </w:rPr>
            </w:pPr>
            <w:r>
              <w:rPr>
                <w:rFonts w:ascii="Times New Roman" w:hAnsi="Times New Roman"/>
                <w:sz w:val="19"/>
                <w:szCs w:val="19"/>
              </w:rPr>
              <w:t xml:space="preserve"> </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lastRenderedPageBreak/>
              <w:t>5.</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inne informacje</w:t>
            </w:r>
          </w:p>
        </w:tc>
      </w:tr>
      <w:tr w:rsidR="00292FE3" w:rsidRPr="00D46B97" w:rsidTr="0021077F">
        <w:trPr>
          <w:trHeight w:val="205"/>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5201FE" w:rsidRDefault="00653DF7" w:rsidP="00812905">
            <w:pPr>
              <w:spacing w:after="0" w:line="240" w:lineRule="auto"/>
              <w:ind w:left="28" w:right="28" w:firstLine="93"/>
              <w:rPr>
                <w:rFonts w:ascii="Times New Roman" w:hAnsi="Times New Roman"/>
                <w:sz w:val="19"/>
                <w:szCs w:val="19"/>
              </w:rPr>
            </w:pPr>
            <w:r>
              <w:rPr>
                <w:rFonts w:ascii="Times New Roman" w:hAnsi="Times New Roman"/>
                <w:sz w:val="19"/>
                <w:szCs w:val="19"/>
              </w:rPr>
              <w:t>Brak danych</w:t>
            </w:r>
          </w:p>
        </w:tc>
      </w:tr>
      <w:tr w:rsidR="00292FE3" w:rsidRPr="00D46B97" w:rsidTr="0021077F">
        <w:trPr>
          <w:trHeight w:val="394"/>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Pogrubienie"/>
                <w:color w:val="000000"/>
              </w:rPr>
              <w:t>II.</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Pogrubienie"/>
                <w:color w:val="000000"/>
              </w:rPr>
              <w:t>Dodatkowe informacje i objaśnienia obejmują w szczególności:</w:t>
            </w:r>
          </w:p>
        </w:tc>
      </w:tr>
      <w:tr w:rsidR="00292FE3" w:rsidRPr="00D46B97" w:rsidTr="0021077F">
        <w:trPr>
          <w:trHeight w:val="159"/>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spacing w:after="0" w:line="240" w:lineRule="auto"/>
              <w:ind w:left="28" w:right="28" w:firstLine="93"/>
              <w:rPr>
                <w:sz w:val="10"/>
                <w:szCs w:val="10"/>
              </w:rPr>
            </w:pPr>
          </w:p>
        </w:tc>
      </w:tr>
      <w:tr w:rsidR="00292FE3" w:rsidRPr="00D46B97" w:rsidTr="0021077F">
        <w:trPr>
          <w:trHeight w:val="106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781614">
            <w:pPr>
              <w:pStyle w:val="Teksttreci20"/>
              <w:shd w:val="clear" w:color="auto" w:fill="auto"/>
              <w:ind w:left="135" w:right="28"/>
              <w:jc w:val="both"/>
            </w:pPr>
            <w:r w:rsidRPr="00D46B97">
              <w:rPr>
                <w:rStyle w:val="Teksttreci29"/>
                <w:color w:val="000000"/>
              </w:rPr>
              <w:t>szczegółowy zakres zmian wartości grup rodzajowych środków trwałych, wartości niematerialnych i prawnych,</w:t>
            </w:r>
            <w:r w:rsidR="00812905" w:rsidRPr="00D46B97">
              <w:rPr>
                <w:rStyle w:val="Teksttreci29"/>
                <w:color w:val="000000"/>
              </w:rPr>
              <w:br/>
            </w:r>
            <w:r w:rsidRPr="00D46B97">
              <w:rPr>
                <w:rStyle w:val="Teksttreci29"/>
                <w:color w:val="000000"/>
              </w:rPr>
              <w:t>zawierający stan tych aktywów na początek roku obrotowego, zwiększenia i zmniejszenia z tytułu: aktualizacji</w:t>
            </w:r>
            <w:r w:rsidR="00812905" w:rsidRPr="00D46B97">
              <w:rPr>
                <w:rStyle w:val="Teksttreci29"/>
                <w:color w:val="000000"/>
              </w:rPr>
              <w:br/>
            </w:r>
            <w:r w:rsidRPr="00D46B97">
              <w:rPr>
                <w:rStyle w:val="Teksttreci29"/>
                <w:color w:val="000000"/>
              </w:rPr>
              <w:t>wartości, nabycia, rozchodu, przemieszczenia wewnętrznego oraz stan końcowy, a dla majątku amortyzowanego</w:t>
            </w:r>
            <w:r w:rsidR="00812905" w:rsidRPr="00D46B97">
              <w:rPr>
                <w:rStyle w:val="Teksttreci29"/>
                <w:color w:val="000000"/>
              </w:rPr>
              <w:br/>
            </w:r>
            <w:r w:rsidRPr="00D46B97">
              <w:rPr>
                <w:rStyle w:val="Teksttreci29"/>
                <w:color w:val="000000"/>
              </w:rPr>
              <w:t xml:space="preserve"> – podobne przedstawienie stanów i tytułów zmian dotychczasowej amortyzacji lub umorzenia</w:t>
            </w:r>
          </w:p>
        </w:tc>
      </w:tr>
      <w:tr w:rsidR="00292FE3" w:rsidRPr="00E749C4" w:rsidTr="0021077F">
        <w:trPr>
          <w:trHeight w:val="805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6A2EA4" w:rsidRPr="00E749C4" w:rsidRDefault="006A2EA4" w:rsidP="006A2EA4">
            <w:pPr>
              <w:spacing w:after="0" w:line="240" w:lineRule="auto"/>
              <w:ind w:right="28"/>
              <w:rPr>
                <w:rFonts w:ascii="Times New Roman" w:hAnsi="Times New Roman"/>
                <w:sz w:val="16"/>
                <w:szCs w:val="16"/>
              </w:rPr>
            </w:pPr>
            <w:r w:rsidRPr="00E749C4">
              <w:rPr>
                <w:rFonts w:ascii="Times New Roman" w:hAnsi="Times New Roman"/>
                <w:b/>
                <w:sz w:val="16"/>
                <w:szCs w:val="16"/>
              </w:rPr>
              <w:t>Główne składniki aktywów trwałych</w:t>
            </w:r>
            <w:r w:rsidRPr="00E749C4">
              <w:rPr>
                <w:rFonts w:ascii="Times New Roman" w:hAnsi="Times New Roman"/>
                <w:sz w:val="16"/>
                <w:szCs w:val="16"/>
              </w:rPr>
              <w:t>:</w:t>
            </w:r>
          </w:p>
          <w:p w:rsidR="00292FE3" w:rsidRPr="00EA5F7D" w:rsidRDefault="00957895" w:rsidP="00957895">
            <w:pPr>
              <w:pStyle w:val="Akapitzlist"/>
              <w:numPr>
                <w:ilvl w:val="0"/>
                <w:numId w:val="4"/>
              </w:numPr>
              <w:spacing w:after="0" w:line="240" w:lineRule="auto"/>
              <w:ind w:right="28"/>
              <w:rPr>
                <w:rFonts w:ascii="Times New Roman" w:hAnsi="Times New Roman"/>
                <w:sz w:val="16"/>
                <w:szCs w:val="16"/>
              </w:rPr>
            </w:pPr>
            <w:r w:rsidRPr="00E749C4">
              <w:rPr>
                <w:rFonts w:ascii="Times New Roman" w:hAnsi="Times New Roman"/>
                <w:sz w:val="16"/>
                <w:szCs w:val="16"/>
              </w:rPr>
              <w:t xml:space="preserve">Wartości niematerialne i prawne: stan </w:t>
            </w:r>
            <w:r w:rsidRPr="00EA5F7D">
              <w:rPr>
                <w:rFonts w:ascii="Times New Roman" w:hAnsi="Times New Roman"/>
                <w:sz w:val="16"/>
                <w:szCs w:val="16"/>
              </w:rPr>
              <w:t xml:space="preserve">początkowy </w:t>
            </w:r>
            <w:r w:rsidR="003973A9" w:rsidRPr="00EA5F7D">
              <w:rPr>
                <w:rFonts w:ascii="Times New Roman" w:hAnsi="Times New Roman"/>
                <w:sz w:val="16"/>
                <w:szCs w:val="16"/>
              </w:rPr>
              <w:t xml:space="preserve"> </w:t>
            </w:r>
            <w:r w:rsidR="00183B6F">
              <w:rPr>
                <w:rFonts w:ascii="Times New Roman" w:hAnsi="Times New Roman"/>
                <w:sz w:val="16"/>
                <w:szCs w:val="16"/>
              </w:rPr>
              <w:t>1.068.482,54</w:t>
            </w:r>
            <w:r w:rsidR="00C73729">
              <w:rPr>
                <w:rFonts w:ascii="Times New Roman" w:hAnsi="Times New Roman"/>
                <w:sz w:val="16"/>
                <w:szCs w:val="16"/>
              </w:rPr>
              <w:t xml:space="preserve"> </w:t>
            </w:r>
            <w:r w:rsidR="00EB545C">
              <w:rPr>
                <w:rFonts w:ascii="Times New Roman" w:hAnsi="Times New Roman"/>
                <w:sz w:val="16"/>
                <w:szCs w:val="16"/>
              </w:rPr>
              <w:t xml:space="preserve"> </w:t>
            </w:r>
            <w:r w:rsidR="00572FCB" w:rsidRPr="00EA5F7D">
              <w:rPr>
                <w:rFonts w:ascii="Times New Roman" w:hAnsi="Times New Roman"/>
                <w:sz w:val="16"/>
                <w:szCs w:val="16"/>
              </w:rPr>
              <w:t>zł</w:t>
            </w:r>
            <w:r w:rsidRPr="00EA5F7D">
              <w:rPr>
                <w:rFonts w:ascii="Times New Roman" w:hAnsi="Times New Roman"/>
                <w:sz w:val="16"/>
                <w:szCs w:val="16"/>
              </w:rPr>
              <w:t xml:space="preserve">; przychody </w:t>
            </w:r>
            <w:r w:rsidR="00C73729">
              <w:rPr>
                <w:rFonts w:ascii="Times New Roman" w:hAnsi="Times New Roman"/>
                <w:sz w:val="16"/>
                <w:szCs w:val="16"/>
              </w:rPr>
              <w:t xml:space="preserve"> </w:t>
            </w:r>
            <w:r w:rsidR="00E84ED1">
              <w:rPr>
                <w:rFonts w:ascii="Times New Roman" w:hAnsi="Times New Roman"/>
                <w:sz w:val="16"/>
                <w:szCs w:val="16"/>
              </w:rPr>
              <w:t>36.508,50</w:t>
            </w:r>
            <w:r w:rsidR="00EB545C">
              <w:rPr>
                <w:rFonts w:ascii="Times New Roman" w:hAnsi="Times New Roman"/>
                <w:sz w:val="16"/>
                <w:szCs w:val="16"/>
              </w:rPr>
              <w:t xml:space="preserve"> zł</w:t>
            </w:r>
            <w:r w:rsidR="00251A4F" w:rsidRPr="00EA5F7D">
              <w:rPr>
                <w:rFonts w:ascii="Times New Roman" w:hAnsi="Times New Roman"/>
                <w:sz w:val="16"/>
                <w:szCs w:val="16"/>
              </w:rPr>
              <w:t xml:space="preserve">; </w:t>
            </w:r>
            <w:r w:rsidR="00E84ED1">
              <w:rPr>
                <w:rFonts w:ascii="Times New Roman" w:hAnsi="Times New Roman"/>
                <w:sz w:val="16"/>
                <w:szCs w:val="16"/>
              </w:rPr>
              <w:t xml:space="preserve">inne zmniejszenia 39.975,42 zł; </w:t>
            </w:r>
            <w:r w:rsidR="002F7F63" w:rsidRPr="00EA5F7D">
              <w:rPr>
                <w:rFonts w:ascii="Times New Roman" w:hAnsi="Times New Roman"/>
                <w:sz w:val="16"/>
                <w:szCs w:val="16"/>
              </w:rPr>
              <w:t xml:space="preserve">stan końcowy </w:t>
            </w:r>
            <w:r w:rsidR="00E84ED1">
              <w:rPr>
                <w:rFonts w:ascii="Times New Roman" w:hAnsi="Times New Roman"/>
                <w:sz w:val="16"/>
                <w:szCs w:val="16"/>
              </w:rPr>
              <w:t xml:space="preserve">1.065.015,62 </w:t>
            </w:r>
            <w:r w:rsidR="002F7F63" w:rsidRPr="00EA5F7D">
              <w:rPr>
                <w:rFonts w:ascii="Times New Roman" w:hAnsi="Times New Roman"/>
                <w:sz w:val="16"/>
                <w:szCs w:val="16"/>
              </w:rPr>
              <w:t>zł,</w:t>
            </w:r>
          </w:p>
          <w:p w:rsidR="002F7F63" w:rsidRPr="00EA5F7D" w:rsidRDefault="002F7F63"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Grunty: stan początkowy </w:t>
            </w:r>
            <w:r w:rsidR="00E84ED1">
              <w:rPr>
                <w:rFonts w:ascii="Times New Roman" w:hAnsi="Times New Roman"/>
                <w:sz w:val="16"/>
                <w:szCs w:val="16"/>
              </w:rPr>
              <w:t>76.218.500,80</w:t>
            </w:r>
            <w:r w:rsidR="00C73729">
              <w:rPr>
                <w:rFonts w:ascii="Times New Roman" w:hAnsi="Times New Roman"/>
                <w:sz w:val="16"/>
                <w:szCs w:val="16"/>
              </w:rPr>
              <w:t xml:space="preserve"> </w:t>
            </w:r>
            <w:r w:rsidR="00572FCB" w:rsidRPr="00EA5F7D">
              <w:rPr>
                <w:rFonts w:ascii="Times New Roman" w:hAnsi="Times New Roman"/>
                <w:sz w:val="16"/>
                <w:szCs w:val="16"/>
              </w:rPr>
              <w:t>zł</w:t>
            </w:r>
            <w:r w:rsidRPr="00EA5F7D">
              <w:rPr>
                <w:rFonts w:ascii="Times New Roman" w:hAnsi="Times New Roman"/>
                <w:sz w:val="16"/>
                <w:szCs w:val="16"/>
              </w:rPr>
              <w:t xml:space="preserve">, przychody </w:t>
            </w:r>
            <w:r w:rsidR="00E84ED1">
              <w:rPr>
                <w:rFonts w:ascii="Times New Roman" w:hAnsi="Times New Roman"/>
                <w:sz w:val="16"/>
                <w:szCs w:val="16"/>
              </w:rPr>
              <w:t>4.230.697,23</w:t>
            </w:r>
            <w:r w:rsidR="00251A4F" w:rsidRPr="00EA5F7D">
              <w:rPr>
                <w:rFonts w:ascii="Times New Roman" w:hAnsi="Times New Roman"/>
                <w:sz w:val="16"/>
                <w:szCs w:val="16"/>
              </w:rPr>
              <w:t xml:space="preserve"> zł </w:t>
            </w:r>
            <w:r w:rsidRPr="00EA5F7D">
              <w:rPr>
                <w:rFonts w:ascii="Times New Roman" w:hAnsi="Times New Roman"/>
                <w:sz w:val="16"/>
                <w:szCs w:val="16"/>
              </w:rPr>
              <w:t>; zbycie</w:t>
            </w:r>
            <w:r w:rsidR="00B7012E">
              <w:rPr>
                <w:rFonts w:ascii="Times New Roman" w:hAnsi="Times New Roman"/>
                <w:sz w:val="16"/>
                <w:szCs w:val="16"/>
              </w:rPr>
              <w:t xml:space="preserve"> </w:t>
            </w:r>
            <w:r w:rsidRPr="00EA5F7D">
              <w:rPr>
                <w:rFonts w:ascii="Times New Roman" w:hAnsi="Times New Roman"/>
                <w:sz w:val="16"/>
                <w:szCs w:val="16"/>
              </w:rPr>
              <w:t xml:space="preserve"> </w:t>
            </w:r>
            <w:r w:rsidR="00E84ED1">
              <w:rPr>
                <w:rFonts w:ascii="Times New Roman" w:hAnsi="Times New Roman"/>
                <w:sz w:val="16"/>
                <w:szCs w:val="16"/>
              </w:rPr>
              <w:t>2.203.925,72</w:t>
            </w:r>
            <w:r w:rsidRPr="00EA5F7D">
              <w:rPr>
                <w:rFonts w:ascii="Times New Roman" w:hAnsi="Times New Roman"/>
                <w:sz w:val="16"/>
                <w:szCs w:val="16"/>
              </w:rPr>
              <w:t xml:space="preserve"> zł; stan końcowy </w:t>
            </w:r>
            <w:r w:rsidR="00E84ED1">
              <w:rPr>
                <w:rFonts w:ascii="Times New Roman" w:hAnsi="Times New Roman"/>
                <w:sz w:val="16"/>
                <w:szCs w:val="16"/>
              </w:rPr>
              <w:t>78.245.272,31</w:t>
            </w:r>
            <w:r w:rsidRPr="00EA5F7D">
              <w:rPr>
                <w:rFonts w:ascii="Times New Roman" w:hAnsi="Times New Roman"/>
                <w:sz w:val="16"/>
                <w:szCs w:val="16"/>
              </w:rPr>
              <w:t xml:space="preserve"> zł,</w:t>
            </w:r>
          </w:p>
          <w:p w:rsidR="002F7F63" w:rsidRPr="00EA5F7D" w:rsidRDefault="002F7F63"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Budynki i lokale: stan początkowy </w:t>
            </w:r>
            <w:r w:rsidR="00C73729">
              <w:rPr>
                <w:rFonts w:ascii="Times New Roman" w:hAnsi="Times New Roman"/>
                <w:sz w:val="16"/>
                <w:szCs w:val="16"/>
              </w:rPr>
              <w:t xml:space="preserve"> </w:t>
            </w:r>
            <w:r w:rsidR="00E84ED1">
              <w:rPr>
                <w:rFonts w:ascii="Times New Roman" w:hAnsi="Times New Roman"/>
                <w:sz w:val="16"/>
                <w:szCs w:val="16"/>
              </w:rPr>
              <w:t>56.249.505,86</w:t>
            </w:r>
            <w:r w:rsidR="00572FCB" w:rsidRPr="00EA5F7D">
              <w:rPr>
                <w:rFonts w:ascii="Times New Roman" w:hAnsi="Times New Roman"/>
                <w:sz w:val="16"/>
                <w:szCs w:val="16"/>
              </w:rPr>
              <w:t xml:space="preserve"> zł</w:t>
            </w:r>
            <w:r w:rsidRPr="00EA5F7D">
              <w:rPr>
                <w:rFonts w:ascii="Times New Roman" w:hAnsi="Times New Roman"/>
                <w:sz w:val="16"/>
                <w:szCs w:val="16"/>
              </w:rPr>
              <w:t xml:space="preserve">; przychody </w:t>
            </w:r>
            <w:r w:rsidR="00E84ED1">
              <w:rPr>
                <w:rFonts w:ascii="Times New Roman" w:hAnsi="Times New Roman"/>
                <w:sz w:val="16"/>
                <w:szCs w:val="16"/>
              </w:rPr>
              <w:t>41.681.507,52</w:t>
            </w:r>
            <w:r w:rsidR="00C73729">
              <w:rPr>
                <w:rFonts w:ascii="Times New Roman" w:hAnsi="Times New Roman"/>
                <w:sz w:val="16"/>
                <w:szCs w:val="16"/>
              </w:rPr>
              <w:t xml:space="preserve"> zł; zbycie </w:t>
            </w:r>
            <w:r w:rsidR="00E84ED1">
              <w:rPr>
                <w:rFonts w:ascii="Times New Roman" w:hAnsi="Times New Roman"/>
                <w:sz w:val="16"/>
                <w:szCs w:val="16"/>
              </w:rPr>
              <w:t xml:space="preserve">16.560.691,23 </w:t>
            </w:r>
            <w:r w:rsidR="00B7012E">
              <w:rPr>
                <w:rFonts w:ascii="Times New Roman" w:hAnsi="Times New Roman"/>
                <w:sz w:val="16"/>
                <w:szCs w:val="16"/>
              </w:rPr>
              <w:t>zł</w:t>
            </w:r>
            <w:r w:rsidR="00F20567">
              <w:rPr>
                <w:rFonts w:ascii="Times New Roman" w:hAnsi="Times New Roman"/>
                <w:sz w:val="16"/>
                <w:szCs w:val="16"/>
              </w:rPr>
              <w:t xml:space="preserve">; </w:t>
            </w:r>
            <w:r w:rsidR="00193BFF" w:rsidRPr="00EA5F7D">
              <w:rPr>
                <w:rFonts w:ascii="Times New Roman" w:hAnsi="Times New Roman"/>
                <w:sz w:val="16"/>
                <w:szCs w:val="16"/>
              </w:rPr>
              <w:t xml:space="preserve">stan końcowy </w:t>
            </w:r>
            <w:r w:rsidR="00E84ED1">
              <w:rPr>
                <w:rFonts w:ascii="Times New Roman" w:hAnsi="Times New Roman"/>
                <w:sz w:val="16"/>
                <w:szCs w:val="16"/>
              </w:rPr>
              <w:t>81.370.322,15</w:t>
            </w:r>
            <w:r w:rsidR="00C73729">
              <w:rPr>
                <w:rFonts w:ascii="Times New Roman" w:hAnsi="Times New Roman"/>
                <w:sz w:val="16"/>
                <w:szCs w:val="16"/>
              </w:rPr>
              <w:t xml:space="preserve"> </w:t>
            </w:r>
            <w:r w:rsidR="00193BFF" w:rsidRPr="00EA5F7D">
              <w:rPr>
                <w:rFonts w:ascii="Times New Roman" w:hAnsi="Times New Roman"/>
                <w:sz w:val="16"/>
                <w:szCs w:val="16"/>
              </w:rPr>
              <w:t>zł,</w:t>
            </w:r>
          </w:p>
          <w:p w:rsidR="00193BFF" w:rsidRPr="00EA5F7D" w:rsidRDefault="00193BFF"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Obiekty inżynierii lądowej i wodnej: stan początkowy </w:t>
            </w:r>
            <w:r w:rsidR="00E84ED1">
              <w:rPr>
                <w:rFonts w:ascii="Times New Roman" w:hAnsi="Times New Roman"/>
                <w:sz w:val="16"/>
                <w:szCs w:val="16"/>
              </w:rPr>
              <w:t>334.389.351,78</w:t>
            </w:r>
            <w:r w:rsidR="00E84ED1" w:rsidRPr="00EA5F7D">
              <w:rPr>
                <w:rFonts w:ascii="Times New Roman" w:hAnsi="Times New Roman"/>
                <w:sz w:val="16"/>
                <w:szCs w:val="16"/>
              </w:rPr>
              <w:t xml:space="preserve"> </w:t>
            </w:r>
            <w:r w:rsidRPr="00EA5F7D">
              <w:rPr>
                <w:rFonts w:ascii="Times New Roman" w:hAnsi="Times New Roman"/>
                <w:sz w:val="16"/>
                <w:szCs w:val="16"/>
              </w:rPr>
              <w:t xml:space="preserve">zł; przychody </w:t>
            </w:r>
            <w:r w:rsidR="00E84ED1">
              <w:rPr>
                <w:rFonts w:ascii="Times New Roman" w:hAnsi="Times New Roman"/>
                <w:sz w:val="16"/>
                <w:szCs w:val="16"/>
              </w:rPr>
              <w:t>11.541.898,65</w:t>
            </w:r>
            <w:r w:rsidR="003973A9" w:rsidRPr="00EA5F7D">
              <w:rPr>
                <w:rFonts w:ascii="Times New Roman" w:hAnsi="Times New Roman"/>
                <w:sz w:val="16"/>
                <w:szCs w:val="16"/>
              </w:rPr>
              <w:t xml:space="preserve"> zł</w:t>
            </w:r>
            <w:r w:rsidRPr="00EA5F7D">
              <w:rPr>
                <w:rFonts w:ascii="Times New Roman" w:hAnsi="Times New Roman"/>
                <w:sz w:val="16"/>
                <w:szCs w:val="16"/>
              </w:rPr>
              <w:t>;</w:t>
            </w:r>
            <w:r w:rsidR="00B7012E">
              <w:rPr>
                <w:rFonts w:ascii="Times New Roman" w:hAnsi="Times New Roman"/>
                <w:sz w:val="16"/>
                <w:szCs w:val="16"/>
              </w:rPr>
              <w:t xml:space="preserve"> zbycie </w:t>
            </w:r>
            <w:r w:rsidR="00E84ED1">
              <w:rPr>
                <w:rFonts w:ascii="Times New Roman" w:hAnsi="Times New Roman"/>
                <w:sz w:val="16"/>
                <w:szCs w:val="16"/>
              </w:rPr>
              <w:t>3.474.647,43</w:t>
            </w:r>
            <w:r w:rsidR="00B7012E">
              <w:rPr>
                <w:rFonts w:ascii="Times New Roman" w:hAnsi="Times New Roman"/>
                <w:sz w:val="16"/>
                <w:szCs w:val="16"/>
              </w:rPr>
              <w:t xml:space="preserve"> zł; </w:t>
            </w:r>
            <w:r w:rsidRPr="00EA5F7D">
              <w:rPr>
                <w:rFonts w:ascii="Times New Roman" w:hAnsi="Times New Roman"/>
                <w:sz w:val="16"/>
                <w:szCs w:val="16"/>
              </w:rPr>
              <w:t xml:space="preserve"> stan końcowy </w:t>
            </w:r>
            <w:r w:rsidR="00E84ED1">
              <w:rPr>
                <w:rFonts w:ascii="Times New Roman" w:hAnsi="Times New Roman"/>
                <w:sz w:val="16"/>
                <w:szCs w:val="16"/>
              </w:rPr>
              <w:t>342.456.603,00</w:t>
            </w:r>
            <w:r w:rsidRPr="00EA5F7D">
              <w:rPr>
                <w:rFonts w:ascii="Times New Roman" w:hAnsi="Times New Roman"/>
                <w:sz w:val="16"/>
                <w:szCs w:val="16"/>
              </w:rPr>
              <w:t xml:space="preserve"> zł,</w:t>
            </w:r>
          </w:p>
          <w:p w:rsidR="00193BFF" w:rsidRPr="00EA5F7D" w:rsidRDefault="00193BFF"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Kotły i maszyny energetyczne: stan początkowy </w:t>
            </w:r>
            <w:r w:rsidR="00E84ED1">
              <w:rPr>
                <w:rFonts w:ascii="Times New Roman" w:hAnsi="Times New Roman"/>
                <w:sz w:val="16"/>
                <w:szCs w:val="16"/>
              </w:rPr>
              <w:t>386.400,28</w:t>
            </w:r>
            <w:r w:rsidRPr="00EA5F7D">
              <w:rPr>
                <w:rFonts w:ascii="Times New Roman" w:hAnsi="Times New Roman"/>
                <w:sz w:val="16"/>
                <w:szCs w:val="16"/>
              </w:rPr>
              <w:t xml:space="preserve"> zł;</w:t>
            </w:r>
            <w:r w:rsidR="00283489">
              <w:rPr>
                <w:rFonts w:ascii="Times New Roman" w:hAnsi="Times New Roman"/>
                <w:sz w:val="16"/>
                <w:szCs w:val="16"/>
              </w:rPr>
              <w:t xml:space="preserve"> </w:t>
            </w:r>
            <w:r w:rsidRPr="00EA5F7D">
              <w:rPr>
                <w:rFonts w:ascii="Times New Roman" w:hAnsi="Times New Roman"/>
                <w:sz w:val="16"/>
                <w:szCs w:val="16"/>
              </w:rPr>
              <w:t xml:space="preserve">stan końcowy </w:t>
            </w:r>
            <w:r w:rsidR="00283489">
              <w:rPr>
                <w:rFonts w:ascii="Times New Roman" w:hAnsi="Times New Roman"/>
                <w:sz w:val="16"/>
                <w:szCs w:val="16"/>
              </w:rPr>
              <w:t>386.400,28</w:t>
            </w:r>
            <w:r w:rsidRPr="00EA5F7D">
              <w:rPr>
                <w:rFonts w:ascii="Times New Roman" w:hAnsi="Times New Roman"/>
                <w:sz w:val="16"/>
                <w:szCs w:val="16"/>
              </w:rPr>
              <w:t xml:space="preserve"> zł,</w:t>
            </w:r>
          </w:p>
          <w:p w:rsidR="00193BFF" w:rsidRPr="00EA5F7D" w:rsidRDefault="00193BFF"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Maszyny, urządzenia i aparaty ogólnego zas</w:t>
            </w:r>
            <w:r w:rsidR="003973A9" w:rsidRPr="00EA5F7D">
              <w:rPr>
                <w:rFonts w:ascii="Times New Roman" w:hAnsi="Times New Roman"/>
                <w:sz w:val="16"/>
                <w:szCs w:val="16"/>
              </w:rPr>
              <w:t xml:space="preserve">tosowania : stan początkowy </w:t>
            </w:r>
            <w:r w:rsidR="00E84ED1">
              <w:rPr>
                <w:rFonts w:ascii="Times New Roman" w:hAnsi="Times New Roman"/>
                <w:sz w:val="16"/>
                <w:szCs w:val="16"/>
              </w:rPr>
              <w:t xml:space="preserve">19.401.388,35 </w:t>
            </w:r>
            <w:r w:rsidRPr="00EA5F7D">
              <w:rPr>
                <w:rFonts w:ascii="Times New Roman" w:hAnsi="Times New Roman"/>
                <w:sz w:val="16"/>
                <w:szCs w:val="16"/>
              </w:rPr>
              <w:t xml:space="preserve">zł; przychody </w:t>
            </w:r>
            <w:r w:rsidR="00E84ED1">
              <w:rPr>
                <w:rFonts w:ascii="Times New Roman" w:hAnsi="Times New Roman"/>
                <w:sz w:val="16"/>
                <w:szCs w:val="16"/>
              </w:rPr>
              <w:t xml:space="preserve">449.473,50 </w:t>
            </w:r>
            <w:r w:rsidRPr="00EA5F7D">
              <w:rPr>
                <w:rFonts w:ascii="Times New Roman" w:hAnsi="Times New Roman"/>
                <w:sz w:val="16"/>
                <w:szCs w:val="16"/>
              </w:rPr>
              <w:t>zł</w:t>
            </w:r>
            <w:r w:rsidR="003973A9" w:rsidRPr="00EA5F7D">
              <w:rPr>
                <w:rFonts w:ascii="Times New Roman" w:hAnsi="Times New Roman"/>
                <w:sz w:val="16"/>
                <w:szCs w:val="16"/>
              </w:rPr>
              <w:t xml:space="preserve">; </w:t>
            </w:r>
            <w:r w:rsidR="00283489">
              <w:rPr>
                <w:rFonts w:ascii="Times New Roman" w:hAnsi="Times New Roman"/>
                <w:sz w:val="16"/>
                <w:szCs w:val="16"/>
              </w:rPr>
              <w:t xml:space="preserve">zbycie </w:t>
            </w:r>
            <w:r w:rsidR="00E84ED1">
              <w:rPr>
                <w:rFonts w:ascii="Times New Roman" w:hAnsi="Times New Roman"/>
                <w:sz w:val="16"/>
                <w:szCs w:val="16"/>
              </w:rPr>
              <w:t>210.045,63</w:t>
            </w:r>
            <w:r w:rsidR="00283489">
              <w:rPr>
                <w:rFonts w:ascii="Times New Roman" w:hAnsi="Times New Roman"/>
                <w:sz w:val="16"/>
                <w:szCs w:val="16"/>
              </w:rPr>
              <w:t xml:space="preserve"> zł; </w:t>
            </w:r>
            <w:r w:rsidR="003973A9" w:rsidRPr="00EA5F7D">
              <w:rPr>
                <w:rFonts w:ascii="Times New Roman" w:hAnsi="Times New Roman"/>
                <w:sz w:val="16"/>
                <w:szCs w:val="16"/>
              </w:rPr>
              <w:t xml:space="preserve">likwidacja </w:t>
            </w:r>
            <w:r w:rsidR="00E84ED1">
              <w:rPr>
                <w:rFonts w:ascii="Times New Roman" w:hAnsi="Times New Roman"/>
                <w:sz w:val="16"/>
                <w:szCs w:val="16"/>
              </w:rPr>
              <w:t>622.714,12</w:t>
            </w:r>
            <w:r w:rsidR="00283489">
              <w:rPr>
                <w:rFonts w:ascii="Times New Roman" w:hAnsi="Times New Roman"/>
                <w:sz w:val="16"/>
                <w:szCs w:val="16"/>
              </w:rPr>
              <w:t xml:space="preserve"> </w:t>
            </w:r>
            <w:r w:rsidR="00251A4F" w:rsidRPr="00EA5F7D">
              <w:rPr>
                <w:rFonts w:ascii="Times New Roman" w:hAnsi="Times New Roman"/>
                <w:sz w:val="16"/>
                <w:szCs w:val="16"/>
              </w:rPr>
              <w:t xml:space="preserve">zł; </w:t>
            </w:r>
            <w:r w:rsidR="000E454C" w:rsidRPr="00EA5F7D">
              <w:rPr>
                <w:rFonts w:ascii="Times New Roman" w:hAnsi="Times New Roman"/>
                <w:sz w:val="16"/>
                <w:szCs w:val="16"/>
              </w:rPr>
              <w:t xml:space="preserve">stan końcowy </w:t>
            </w:r>
            <w:r w:rsidR="00E84ED1">
              <w:rPr>
                <w:rFonts w:ascii="Times New Roman" w:hAnsi="Times New Roman"/>
                <w:sz w:val="16"/>
                <w:szCs w:val="16"/>
              </w:rPr>
              <w:t>19.018.102,10</w:t>
            </w:r>
            <w:r w:rsidR="000E454C" w:rsidRPr="00EA5F7D">
              <w:rPr>
                <w:rFonts w:ascii="Times New Roman" w:hAnsi="Times New Roman"/>
                <w:sz w:val="16"/>
                <w:szCs w:val="16"/>
              </w:rPr>
              <w:t xml:space="preserve"> zł,</w:t>
            </w:r>
          </w:p>
          <w:p w:rsidR="000E454C" w:rsidRPr="00EA5F7D" w:rsidRDefault="000E454C"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Maszyny, urządzenia i aparaty specjalistyczne: stan początkowy </w:t>
            </w:r>
            <w:r w:rsidR="00E84ED1">
              <w:rPr>
                <w:rFonts w:ascii="Times New Roman" w:hAnsi="Times New Roman"/>
                <w:sz w:val="16"/>
                <w:szCs w:val="16"/>
              </w:rPr>
              <w:t>4.491,78</w:t>
            </w:r>
            <w:r w:rsidR="00E84ED1" w:rsidRPr="00EA5F7D">
              <w:rPr>
                <w:rFonts w:ascii="Times New Roman" w:hAnsi="Times New Roman"/>
                <w:sz w:val="16"/>
                <w:szCs w:val="16"/>
              </w:rPr>
              <w:t xml:space="preserve"> </w:t>
            </w:r>
            <w:r w:rsidR="00572FCB" w:rsidRPr="00EA5F7D">
              <w:rPr>
                <w:rFonts w:ascii="Times New Roman" w:hAnsi="Times New Roman"/>
                <w:sz w:val="16"/>
                <w:szCs w:val="16"/>
              </w:rPr>
              <w:t xml:space="preserve"> zł</w:t>
            </w:r>
            <w:r w:rsidR="00283489">
              <w:rPr>
                <w:rFonts w:ascii="Times New Roman" w:hAnsi="Times New Roman"/>
                <w:sz w:val="16"/>
                <w:szCs w:val="16"/>
              </w:rPr>
              <w:t xml:space="preserve">; </w:t>
            </w:r>
            <w:r w:rsidRPr="00EA5F7D">
              <w:rPr>
                <w:rFonts w:ascii="Times New Roman" w:hAnsi="Times New Roman"/>
                <w:sz w:val="16"/>
                <w:szCs w:val="16"/>
              </w:rPr>
              <w:t xml:space="preserve">stan końcowy </w:t>
            </w:r>
            <w:r w:rsidR="00283489">
              <w:rPr>
                <w:rFonts w:ascii="Times New Roman" w:hAnsi="Times New Roman"/>
                <w:sz w:val="16"/>
                <w:szCs w:val="16"/>
              </w:rPr>
              <w:t>4.491,78</w:t>
            </w:r>
            <w:r w:rsidRPr="00EA5F7D">
              <w:rPr>
                <w:rFonts w:ascii="Times New Roman" w:hAnsi="Times New Roman"/>
                <w:sz w:val="16"/>
                <w:szCs w:val="16"/>
              </w:rPr>
              <w:t xml:space="preserve"> zł,</w:t>
            </w:r>
          </w:p>
          <w:p w:rsidR="000E454C" w:rsidRPr="00EA5F7D" w:rsidRDefault="000E454C"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Urządzenia techniczne:</w:t>
            </w:r>
            <w:r w:rsidR="0021077F" w:rsidRPr="00EA5F7D">
              <w:rPr>
                <w:rFonts w:ascii="Times New Roman" w:hAnsi="Times New Roman"/>
                <w:sz w:val="16"/>
                <w:szCs w:val="16"/>
              </w:rPr>
              <w:t xml:space="preserve"> </w:t>
            </w:r>
            <w:r w:rsidRPr="00EA5F7D">
              <w:rPr>
                <w:rFonts w:ascii="Times New Roman" w:hAnsi="Times New Roman"/>
                <w:sz w:val="16"/>
                <w:szCs w:val="16"/>
              </w:rPr>
              <w:t>s</w:t>
            </w:r>
            <w:r w:rsidR="0021077F" w:rsidRPr="00EA5F7D">
              <w:rPr>
                <w:rFonts w:ascii="Times New Roman" w:hAnsi="Times New Roman"/>
                <w:sz w:val="16"/>
                <w:szCs w:val="16"/>
              </w:rPr>
              <w:t xml:space="preserve">tan początkowy </w:t>
            </w:r>
            <w:r w:rsidR="00E84ED1">
              <w:rPr>
                <w:rFonts w:ascii="Times New Roman" w:hAnsi="Times New Roman"/>
                <w:sz w:val="16"/>
                <w:szCs w:val="16"/>
              </w:rPr>
              <w:t>12.174.295,13</w:t>
            </w:r>
            <w:r w:rsidR="00572FCB" w:rsidRPr="00EA5F7D">
              <w:rPr>
                <w:rFonts w:ascii="Times New Roman" w:hAnsi="Times New Roman"/>
                <w:sz w:val="16"/>
                <w:szCs w:val="16"/>
              </w:rPr>
              <w:t xml:space="preserve"> </w:t>
            </w:r>
            <w:r w:rsidR="0021077F" w:rsidRPr="00EA5F7D">
              <w:rPr>
                <w:rFonts w:ascii="Times New Roman" w:hAnsi="Times New Roman"/>
                <w:sz w:val="16"/>
                <w:szCs w:val="16"/>
              </w:rPr>
              <w:t>zł</w:t>
            </w:r>
            <w:r w:rsidRPr="00EA5F7D">
              <w:rPr>
                <w:rFonts w:ascii="Times New Roman" w:hAnsi="Times New Roman"/>
                <w:sz w:val="16"/>
                <w:szCs w:val="16"/>
              </w:rPr>
              <w:t>;</w:t>
            </w:r>
            <w:r w:rsidR="00404813" w:rsidRPr="00EA5F7D">
              <w:rPr>
                <w:rFonts w:ascii="Times New Roman" w:hAnsi="Times New Roman"/>
                <w:sz w:val="16"/>
                <w:szCs w:val="16"/>
              </w:rPr>
              <w:t xml:space="preserve"> </w:t>
            </w:r>
            <w:r w:rsidR="00283489">
              <w:rPr>
                <w:rFonts w:ascii="Times New Roman" w:hAnsi="Times New Roman"/>
                <w:sz w:val="16"/>
                <w:szCs w:val="16"/>
              </w:rPr>
              <w:t xml:space="preserve">przychody </w:t>
            </w:r>
            <w:r w:rsidR="00E84ED1">
              <w:rPr>
                <w:rFonts w:ascii="Times New Roman" w:hAnsi="Times New Roman"/>
                <w:sz w:val="16"/>
                <w:szCs w:val="16"/>
              </w:rPr>
              <w:t>24.885.078,15</w:t>
            </w:r>
            <w:r w:rsidR="00283489">
              <w:rPr>
                <w:rFonts w:ascii="Times New Roman" w:hAnsi="Times New Roman"/>
                <w:sz w:val="16"/>
                <w:szCs w:val="16"/>
              </w:rPr>
              <w:t xml:space="preserve"> zł; </w:t>
            </w:r>
            <w:r w:rsidR="00B7012E">
              <w:rPr>
                <w:rFonts w:ascii="Times New Roman" w:hAnsi="Times New Roman"/>
                <w:sz w:val="16"/>
                <w:szCs w:val="16"/>
              </w:rPr>
              <w:t xml:space="preserve">zbycie  </w:t>
            </w:r>
            <w:r w:rsidR="00E84ED1">
              <w:rPr>
                <w:rFonts w:ascii="Times New Roman" w:hAnsi="Times New Roman"/>
                <w:sz w:val="16"/>
                <w:szCs w:val="16"/>
              </w:rPr>
              <w:t>13.859.150,06</w:t>
            </w:r>
            <w:r w:rsidR="00251A4F" w:rsidRPr="00EA5F7D">
              <w:rPr>
                <w:rFonts w:ascii="Times New Roman" w:hAnsi="Times New Roman"/>
                <w:sz w:val="16"/>
                <w:szCs w:val="16"/>
              </w:rPr>
              <w:t xml:space="preserve"> </w:t>
            </w:r>
            <w:r w:rsidR="00B7012E">
              <w:rPr>
                <w:rFonts w:ascii="Times New Roman" w:hAnsi="Times New Roman"/>
                <w:sz w:val="16"/>
                <w:szCs w:val="16"/>
              </w:rPr>
              <w:t>zł</w:t>
            </w:r>
            <w:r w:rsidR="00251A4F" w:rsidRPr="00EA5F7D">
              <w:rPr>
                <w:rFonts w:ascii="Times New Roman" w:hAnsi="Times New Roman"/>
                <w:sz w:val="16"/>
                <w:szCs w:val="16"/>
              </w:rPr>
              <w:t xml:space="preserve">; </w:t>
            </w:r>
            <w:r w:rsidR="00E84ED1">
              <w:rPr>
                <w:rFonts w:ascii="Times New Roman" w:hAnsi="Times New Roman"/>
                <w:sz w:val="16"/>
                <w:szCs w:val="16"/>
              </w:rPr>
              <w:t xml:space="preserve">likwidacja 110.712,43 zł; </w:t>
            </w:r>
            <w:r w:rsidRPr="00EA5F7D">
              <w:rPr>
                <w:rFonts w:ascii="Times New Roman" w:hAnsi="Times New Roman"/>
                <w:sz w:val="16"/>
                <w:szCs w:val="16"/>
              </w:rPr>
              <w:t>stan końcowy</w:t>
            </w:r>
            <w:r w:rsidR="00A2111F" w:rsidRPr="00EA5F7D">
              <w:rPr>
                <w:rFonts w:ascii="Times New Roman" w:hAnsi="Times New Roman"/>
                <w:sz w:val="16"/>
                <w:szCs w:val="16"/>
              </w:rPr>
              <w:t xml:space="preserve">  </w:t>
            </w:r>
            <w:r w:rsidR="00E84ED1">
              <w:rPr>
                <w:rFonts w:ascii="Times New Roman" w:hAnsi="Times New Roman"/>
                <w:sz w:val="16"/>
                <w:szCs w:val="16"/>
              </w:rPr>
              <w:t>23.089.510,79</w:t>
            </w:r>
            <w:r w:rsidR="00283489">
              <w:rPr>
                <w:rFonts w:ascii="Times New Roman" w:hAnsi="Times New Roman"/>
                <w:sz w:val="16"/>
                <w:szCs w:val="16"/>
              </w:rPr>
              <w:t xml:space="preserve"> </w:t>
            </w:r>
            <w:r w:rsidRPr="00EA5F7D">
              <w:rPr>
                <w:rFonts w:ascii="Times New Roman" w:hAnsi="Times New Roman"/>
                <w:sz w:val="16"/>
                <w:szCs w:val="16"/>
              </w:rPr>
              <w:t>zł,</w:t>
            </w:r>
          </w:p>
          <w:p w:rsidR="000E454C" w:rsidRPr="00EA5F7D" w:rsidRDefault="000E454C"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Środki transportu: stan początkowy </w:t>
            </w:r>
            <w:r w:rsidR="00B7012E">
              <w:rPr>
                <w:rFonts w:ascii="Times New Roman" w:hAnsi="Times New Roman"/>
                <w:sz w:val="16"/>
                <w:szCs w:val="16"/>
              </w:rPr>
              <w:t xml:space="preserve"> </w:t>
            </w:r>
            <w:r w:rsidR="00E84ED1">
              <w:rPr>
                <w:rFonts w:ascii="Times New Roman" w:hAnsi="Times New Roman"/>
                <w:sz w:val="16"/>
                <w:szCs w:val="16"/>
              </w:rPr>
              <w:t xml:space="preserve">33.068.679,12 </w:t>
            </w:r>
            <w:r w:rsidR="00572FCB" w:rsidRPr="00EA5F7D">
              <w:rPr>
                <w:rFonts w:ascii="Times New Roman" w:hAnsi="Times New Roman"/>
                <w:sz w:val="16"/>
                <w:szCs w:val="16"/>
              </w:rPr>
              <w:t>zł</w:t>
            </w:r>
            <w:r w:rsidRPr="00EA5F7D">
              <w:rPr>
                <w:rFonts w:ascii="Times New Roman" w:hAnsi="Times New Roman"/>
                <w:sz w:val="16"/>
                <w:szCs w:val="16"/>
              </w:rPr>
              <w:t>;</w:t>
            </w:r>
            <w:r w:rsidR="00283489">
              <w:rPr>
                <w:rFonts w:ascii="Times New Roman" w:hAnsi="Times New Roman"/>
                <w:sz w:val="16"/>
                <w:szCs w:val="16"/>
              </w:rPr>
              <w:t xml:space="preserve"> przychody </w:t>
            </w:r>
            <w:r w:rsidR="00E84ED1">
              <w:rPr>
                <w:rFonts w:ascii="Times New Roman" w:hAnsi="Times New Roman"/>
                <w:sz w:val="16"/>
                <w:szCs w:val="16"/>
              </w:rPr>
              <w:t>607.816,40</w:t>
            </w:r>
            <w:r w:rsidR="00283489">
              <w:rPr>
                <w:rFonts w:ascii="Times New Roman" w:hAnsi="Times New Roman"/>
                <w:sz w:val="16"/>
                <w:szCs w:val="16"/>
              </w:rPr>
              <w:t xml:space="preserve"> zł;</w:t>
            </w:r>
            <w:r w:rsidRPr="00EA5F7D">
              <w:rPr>
                <w:rFonts w:ascii="Times New Roman" w:hAnsi="Times New Roman"/>
                <w:sz w:val="16"/>
                <w:szCs w:val="16"/>
              </w:rPr>
              <w:t xml:space="preserve"> </w:t>
            </w:r>
            <w:r w:rsidR="00E84ED1">
              <w:rPr>
                <w:rFonts w:ascii="Times New Roman" w:hAnsi="Times New Roman"/>
                <w:sz w:val="16"/>
                <w:szCs w:val="16"/>
              </w:rPr>
              <w:t>likwidacja</w:t>
            </w:r>
            <w:r w:rsidR="00404813" w:rsidRPr="00EA5F7D">
              <w:rPr>
                <w:rFonts w:ascii="Times New Roman" w:hAnsi="Times New Roman"/>
                <w:sz w:val="16"/>
                <w:szCs w:val="16"/>
              </w:rPr>
              <w:t xml:space="preserve"> </w:t>
            </w:r>
            <w:r w:rsidR="00E84ED1">
              <w:rPr>
                <w:rFonts w:ascii="Times New Roman" w:hAnsi="Times New Roman"/>
                <w:sz w:val="16"/>
                <w:szCs w:val="16"/>
              </w:rPr>
              <w:t>87.206,03</w:t>
            </w:r>
            <w:r w:rsidR="00251A4F" w:rsidRPr="00EA5F7D">
              <w:rPr>
                <w:rFonts w:ascii="Times New Roman" w:hAnsi="Times New Roman"/>
                <w:sz w:val="16"/>
                <w:szCs w:val="16"/>
              </w:rPr>
              <w:t xml:space="preserve"> zł; </w:t>
            </w:r>
            <w:r w:rsidR="00404813" w:rsidRPr="00EA5F7D">
              <w:rPr>
                <w:rFonts w:ascii="Times New Roman" w:hAnsi="Times New Roman"/>
                <w:sz w:val="16"/>
                <w:szCs w:val="16"/>
              </w:rPr>
              <w:t xml:space="preserve">stan końcowy </w:t>
            </w:r>
            <w:r w:rsidR="007C5BAB">
              <w:rPr>
                <w:rFonts w:ascii="Times New Roman" w:hAnsi="Times New Roman"/>
                <w:sz w:val="16"/>
                <w:szCs w:val="16"/>
              </w:rPr>
              <w:t>33.589.289,49</w:t>
            </w:r>
            <w:r w:rsidR="00B7012E">
              <w:rPr>
                <w:rFonts w:ascii="Times New Roman" w:hAnsi="Times New Roman"/>
                <w:sz w:val="16"/>
                <w:szCs w:val="16"/>
              </w:rPr>
              <w:t xml:space="preserve"> </w:t>
            </w:r>
            <w:r w:rsidRPr="00EA5F7D">
              <w:rPr>
                <w:rFonts w:ascii="Times New Roman" w:hAnsi="Times New Roman"/>
                <w:sz w:val="16"/>
                <w:szCs w:val="16"/>
              </w:rPr>
              <w:t>zł,</w:t>
            </w:r>
          </w:p>
          <w:p w:rsidR="000E454C" w:rsidRPr="00EA5F7D" w:rsidRDefault="000E454C"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Narzędzia, przyrządy, ruchomości i wyposażenie, gdzie indziej nie</w:t>
            </w:r>
            <w:r w:rsidR="00E669DE">
              <w:rPr>
                <w:rFonts w:ascii="Times New Roman" w:hAnsi="Times New Roman"/>
                <w:sz w:val="16"/>
                <w:szCs w:val="16"/>
              </w:rPr>
              <w:t>sklasyfikowane: stan początkowy</w:t>
            </w:r>
            <w:r w:rsidR="00A9226B" w:rsidRPr="00EA5F7D">
              <w:rPr>
                <w:rFonts w:ascii="Times New Roman" w:hAnsi="Times New Roman"/>
                <w:sz w:val="16"/>
                <w:szCs w:val="16"/>
              </w:rPr>
              <w:t xml:space="preserve"> </w:t>
            </w:r>
            <w:r w:rsidR="007C5BAB">
              <w:rPr>
                <w:rFonts w:ascii="Times New Roman" w:hAnsi="Times New Roman"/>
                <w:sz w:val="16"/>
                <w:szCs w:val="16"/>
              </w:rPr>
              <w:t xml:space="preserve">3.982.493,07 </w:t>
            </w:r>
            <w:r w:rsidR="00A9226B" w:rsidRPr="00EA5F7D">
              <w:rPr>
                <w:rFonts w:ascii="Times New Roman" w:hAnsi="Times New Roman"/>
                <w:sz w:val="16"/>
                <w:szCs w:val="16"/>
              </w:rPr>
              <w:t>zł</w:t>
            </w:r>
            <w:r w:rsidRPr="00EA5F7D">
              <w:rPr>
                <w:rFonts w:ascii="Times New Roman" w:hAnsi="Times New Roman"/>
                <w:sz w:val="16"/>
                <w:szCs w:val="16"/>
              </w:rPr>
              <w:t xml:space="preserve">; przychody </w:t>
            </w:r>
            <w:r w:rsidR="007C5BAB">
              <w:rPr>
                <w:rFonts w:ascii="Times New Roman" w:hAnsi="Times New Roman"/>
                <w:sz w:val="16"/>
                <w:szCs w:val="16"/>
              </w:rPr>
              <w:t>1.971.221,84</w:t>
            </w:r>
            <w:r w:rsidRPr="00EA5F7D">
              <w:rPr>
                <w:rFonts w:ascii="Times New Roman" w:hAnsi="Times New Roman"/>
                <w:sz w:val="16"/>
                <w:szCs w:val="16"/>
              </w:rPr>
              <w:t xml:space="preserve"> zł;</w:t>
            </w:r>
            <w:r w:rsidR="00B7012E">
              <w:rPr>
                <w:rFonts w:ascii="Times New Roman" w:hAnsi="Times New Roman"/>
                <w:sz w:val="16"/>
                <w:szCs w:val="16"/>
              </w:rPr>
              <w:t xml:space="preserve"> zbycie </w:t>
            </w:r>
            <w:r w:rsidR="007C5BAB">
              <w:rPr>
                <w:rFonts w:ascii="Times New Roman" w:hAnsi="Times New Roman"/>
                <w:sz w:val="16"/>
                <w:szCs w:val="16"/>
              </w:rPr>
              <w:t>1.047.359,92</w:t>
            </w:r>
            <w:r w:rsidR="00E669DE">
              <w:rPr>
                <w:rFonts w:ascii="Times New Roman" w:hAnsi="Times New Roman"/>
                <w:sz w:val="16"/>
                <w:szCs w:val="16"/>
              </w:rPr>
              <w:t xml:space="preserve"> zł</w:t>
            </w:r>
            <w:r w:rsidR="00404813" w:rsidRPr="00EA5F7D">
              <w:rPr>
                <w:rFonts w:ascii="Times New Roman" w:hAnsi="Times New Roman"/>
                <w:sz w:val="16"/>
                <w:szCs w:val="16"/>
              </w:rPr>
              <w:t xml:space="preserve">; </w:t>
            </w:r>
            <w:r w:rsidR="007C5BAB">
              <w:rPr>
                <w:rFonts w:ascii="Times New Roman" w:hAnsi="Times New Roman"/>
                <w:sz w:val="16"/>
                <w:szCs w:val="16"/>
              </w:rPr>
              <w:t xml:space="preserve">likwidacja 1.182,18 zł; </w:t>
            </w:r>
            <w:r w:rsidR="00404813" w:rsidRPr="00EA5F7D">
              <w:rPr>
                <w:rFonts w:ascii="Times New Roman" w:hAnsi="Times New Roman"/>
                <w:sz w:val="16"/>
                <w:szCs w:val="16"/>
              </w:rPr>
              <w:t xml:space="preserve">stan końcowy </w:t>
            </w:r>
            <w:r w:rsidR="007C5BAB">
              <w:rPr>
                <w:rFonts w:ascii="Times New Roman" w:hAnsi="Times New Roman"/>
                <w:sz w:val="16"/>
                <w:szCs w:val="16"/>
              </w:rPr>
              <w:t>4.905.172,81</w:t>
            </w:r>
            <w:r w:rsidRPr="00EA5F7D">
              <w:rPr>
                <w:rFonts w:ascii="Times New Roman" w:hAnsi="Times New Roman"/>
                <w:sz w:val="16"/>
                <w:szCs w:val="16"/>
              </w:rPr>
              <w:t xml:space="preserve"> zł,</w:t>
            </w:r>
          </w:p>
          <w:p w:rsidR="000E454C" w:rsidRPr="00EA5F7D" w:rsidRDefault="000E454C" w:rsidP="00957895">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 xml:space="preserve">Pozostałe środki trwałe: stan początkowy </w:t>
            </w:r>
            <w:r w:rsidR="007C5BAB">
              <w:rPr>
                <w:rFonts w:ascii="Times New Roman" w:hAnsi="Times New Roman"/>
                <w:sz w:val="16"/>
                <w:szCs w:val="16"/>
              </w:rPr>
              <w:t>6.967.996,55</w:t>
            </w:r>
            <w:r w:rsidR="007C5BAB" w:rsidRPr="00EA5F7D">
              <w:rPr>
                <w:rFonts w:ascii="Times New Roman" w:hAnsi="Times New Roman"/>
                <w:sz w:val="16"/>
                <w:szCs w:val="16"/>
              </w:rPr>
              <w:t xml:space="preserve"> </w:t>
            </w:r>
            <w:r w:rsidR="00A9226B" w:rsidRPr="00EA5F7D">
              <w:rPr>
                <w:rFonts w:ascii="Times New Roman" w:hAnsi="Times New Roman"/>
                <w:sz w:val="16"/>
                <w:szCs w:val="16"/>
              </w:rPr>
              <w:t>zł</w:t>
            </w:r>
            <w:r w:rsidRPr="00EA5F7D">
              <w:rPr>
                <w:rFonts w:ascii="Times New Roman" w:hAnsi="Times New Roman"/>
                <w:sz w:val="16"/>
                <w:szCs w:val="16"/>
              </w:rPr>
              <w:t xml:space="preserve">; przychody </w:t>
            </w:r>
            <w:r w:rsidR="00BE6255">
              <w:rPr>
                <w:rFonts w:ascii="Times New Roman" w:hAnsi="Times New Roman"/>
                <w:sz w:val="16"/>
                <w:szCs w:val="16"/>
              </w:rPr>
              <w:t xml:space="preserve"> </w:t>
            </w:r>
            <w:r w:rsidR="007C5BAB">
              <w:rPr>
                <w:rFonts w:ascii="Times New Roman" w:hAnsi="Times New Roman"/>
                <w:sz w:val="16"/>
                <w:szCs w:val="16"/>
              </w:rPr>
              <w:t>1.490.112,07</w:t>
            </w:r>
            <w:r w:rsidR="00BE6255">
              <w:rPr>
                <w:rFonts w:ascii="Times New Roman" w:hAnsi="Times New Roman"/>
                <w:sz w:val="16"/>
                <w:szCs w:val="16"/>
              </w:rPr>
              <w:t xml:space="preserve"> </w:t>
            </w:r>
            <w:r w:rsidR="00EA5F7D" w:rsidRPr="00EA5F7D">
              <w:rPr>
                <w:rFonts w:ascii="Times New Roman" w:hAnsi="Times New Roman"/>
                <w:sz w:val="16"/>
                <w:szCs w:val="16"/>
              </w:rPr>
              <w:t>zł</w:t>
            </w:r>
            <w:r w:rsidRPr="00EA5F7D">
              <w:rPr>
                <w:rFonts w:ascii="Times New Roman" w:hAnsi="Times New Roman"/>
                <w:sz w:val="16"/>
                <w:szCs w:val="16"/>
              </w:rPr>
              <w:t>;</w:t>
            </w:r>
            <w:r w:rsidR="00BE6255">
              <w:rPr>
                <w:rFonts w:ascii="Times New Roman" w:hAnsi="Times New Roman"/>
                <w:sz w:val="16"/>
                <w:szCs w:val="16"/>
              </w:rPr>
              <w:t xml:space="preserve"> zbycie  </w:t>
            </w:r>
            <w:r w:rsidR="007C5BAB">
              <w:rPr>
                <w:rFonts w:ascii="Times New Roman" w:hAnsi="Times New Roman"/>
                <w:sz w:val="16"/>
                <w:szCs w:val="16"/>
              </w:rPr>
              <w:t>8.345,33</w:t>
            </w:r>
            <w:r w:rsidR="00BE6255">
              <w:rPr>
                <w:rFonts w:ascii="Times New Roman" w:hAnsi="Times New Roman"/>
                <w:sz w:val="16"/>
                <w:szCs w:val="16"/>
              </w:rPr>
              <w:t xml:space="preserve"> zł;</w:t>
            </w:r>
            <w:r w:rsidRPr="00EA5F7D">
              <w:rPr>
                <w:rFonts w:ascii="Times New Roman" w:hAnsi="Times New Roman"/>
                <w:sz w:val="16"/>
                <w:szCs w:val="16"/>
              </w:rPr>
              <w:t xml:space="preserve"> likwidacja </w:t>
            </w:r>
            <w:r w:rsidR="007C5BAB">
              <w:rPr>
                <w:rFonts w:ascii="Times New Roman" w:hAnsi="Times New Roman"/>
                <w:sz w:val="16"/>
                <w:szCs w:val="16"/>
              </w:rPr>
              <w:t>86.647,95</w:t>
            </w:r>
            <w:r w:rsidR="00BE6255">
              <w:rPr>
                <w:rFonts w:ascii="Times New Roman" w:hAnsi="Times New Roman"/>
                <w:sz w:val="16"/>
                <w:szCs w:val="16"/>
              </w:rPr>
              <w:t xml:space="preserve"> zł</w:t>
            </w:r>
            <w:r w:rsidR="00EA5F7D" w:rsidRPr="00EA5F7D">
              <w:rPr>
                <w:rFonts w:ascii="Times New Roman" w:hAnsi="Times New Roman"/>
                <w:sz w:val="16"/>
                <w:szCs w:val="16"/>
              </w:rPr>
              <w:t xml:space="preserve">; </w:t>
            </w:r>
            <w:r w:rsidRPr="00EA5F7D">
              <w:rPr>
                <w:rFonts w:ascii="Times New Roman" w:hAnsi="Times New Roman"/>
                <w:sz w:val="16"/>
                <w:szCs w:val="16"/>
              </w:rPr>
              <w:t xml:space="preserve">stan końcowy </w:t>
            </w:r>
            <w:r w:rsidR="007C5BAB">
              <w:rPr>
                <w:rFonts w:ascii="Times New Roman" w:hAnsi="Times New Roman"/>
                <w:sz w:val="16"/>
                <w:szCs w:val="16"/>
              </w:rPr>
              <w:t>8.363.115,34</w:t>
            </w:r>
            <w:r w:rsidRPr="00EA5F7D">
              <w:rPr>
                <w:rFonts w:ascii="Times New Roman" w:hAnsi="Times New Roman"/>
                <w:sz w:val="16"/>
                <w:szCs w:val="16"/>
              </w:rPr>
              <w:t xml:space="preserve"> zł,</w:t>
            </w:r>
          </w:p>
          <w:p w:rsidR="00914F29" w:rsidRPr="00EA5F7D" w:rsidRDefault="000E454C" w:rsidP="00914F29">
            <w:pPr>
              <w:pStyle w:val="Akapitzlist"/>
              <w:numPr>
                <w:ilvl w:val="0"/>
                <w:numId w:val="4"/>
              </w:numPr>
              <w:spacing w:after="0" w:line="240" w:lineRule="auto"/>
              <w:ind w:right="28"/>
              <w:rPr>
                <w:rFonts w:ascii="Times New Roman" w:hAnsi="Times New Roman"/>
                <w:sz w:val="16"/>
                <w:szCs w:val="16"/>
              </w:rPr>
            </w:pPr>
            <w:r w:rsidRPr="00EA5F7D">
              <w:rPr>
                <w:rFonts w:ascii="Times New Roman" w:hAnsi="Times New Roman"/>
                <w:sz w:val="16"/>
                <w:szCs w:val="16"/>
              </w:rPr>
              <w:t>Zbiory biblioteczne: stan początkowy 38.091,67 zł; stan końcowy 38.091,67 zł</w:t>
            </w:r>
          </w:p>
          <w:p w:rsidR="006A2EA4" w:rsidRPr="00E749C4" w:rsidRDefault="006A2EA4" w:rsidP="006A2EA4">
            <w:pPr>
              <w:spacing w:after="0" w:line="240" w:lineRule="auto"/>
              <w:ind w:left="121" w:right="28"/>
              <w:rPr>
                <w:rFonts w:ascii="Times New Roman" w:hAnsi="Times New Roman"/>
                <w:sz w:val="16"/>
                <w:szCs w:val="16"/>
              </w:rPr>
            </w:pPr>
            <w:r w:rsidRPr="00E749C4">
              <w:rPr>
                <w:rFonts w:ascii="Times New Roman" w:hAnsi="Times New Roman"/>
                <w:b/>
                <w:sz w:val="16"/>
                <w:szCs w:val="16"/>
              </w:rPr>
              <w:t>Stany i tytuły zmian amortyzacji lub umorzenia</w:t>
            </w:r>
            <w:r w:rsidRPr="00E749C4">
              <w:rPr>
                <w:rFonts w:ascii="Times New Roman" w:hAnsi="Times New Roman"/>
                <w:sz w:val="16"/>
                <w:szCs w:val="16"/>
              </w:rPr>
              <w:t>:</w:t>
            </w:r>
          </w:p>
          <w:p w:rsidR="006A2EA4" w:rsidRPr="00E749C4" w:rsidRDefault="006A2EA4"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 xml:space="preserve">Wartości niematerialne i prawne: stan początkowy </w:t>
            </w:r>
            <w:r w:rsidR="00D15A30">
              <w:rPr>
                <w:rFonts w:ascii="Times New Roman" w:hAnsi="Times New Roman"/>
                <w:sz w:val="16"/>
                <w:szCs w:val="16"/>
              </w:rPr>
              <w:t>758.059,04</w:t>
            </w:r>
            <w:r w:rsidRPr="00E749C4">
              <w:rPr>
                <w:rFonts w:ascii="Times New Roman" w:hAnsi="Times New Roman"/>
                <w:sz w:val="16"/>
                <w:szCs w:val="16"/>
              </w:rPr>
              <w:t xml:space="preserve"> zł; amortyzacja za rok</w:t>
            </w:r>
            <w:r w:rsidR="00893A62">
              <w:rPr>
                <w:rFonts w:ascii="Times New Roman" w:hAnsi="Times New Roman"/>
                <w:sz w:val="16"/>
                <w:szCs w:val="16"/>
              </w:rPr>
              <w:t xml:space="preserve"> </w:t>
            </w:r>
            <w:r w:rsidR="00D15A30">
              <w:rPr>
                <w:rFonts w:ascii="Times New Roman" w:hAnsi="Times New Roman"/>
                <w:sz w:val="16"/>
                <w:szCs w:val="16"/>
              </w:rPr>
              <w:t xml:space="preserve">144.342,66 </w:t>
            </w:r>
            <w:r w:rsidR="00EA5F7D">
              <w:rPr>
                <w:rFonts w:ascii="Times New Roman" w:hAnsi="Times New Roman"/>
                <w:sz w:val="16"/>
                <w:szCs w:val="16"/>
              </w:rPr>
              <w:t>zł</w:t>
            </w:r>
            <w:r w:rsidRPr="00E749C4">
              <w:rPr>
                <w:rFonts w:ascii="Times New Roman" w:hAnsi="Times New Roman"/>
                <w:sz w:val="16"/>
                <w:szCs w:val="16"/>
              </w:rPr>
              <w:t xml:space="preserve">; </w:t>
            </w:r>
            <w:r w:rsidR="00EA5F7D">
              <w:rPr>
                <w:rFonts w:ascii="Times New Roman" w:hAnsi="Times New Roman"/>
                <w:sz w:val="16"/>
                <w:szCs w:val="16"/>
              </w:rPr>
              <w:t xml:space="preserve">inne zwiększenia </w:t>
            </w:r>
            <w:r w:rsidR="00D15A30">
              <w:rPr>
                <w:rFonts w:ascii="Times New Roman" w:hAnsi="Times New Roman"/>
                <w:sz w:val="16"/>
                <w:szCs w:val="16"/>
              </w:rPr>
              <w:t>8.000,00</w:t>
            </w:r>
            <w:r w:rsidR="00EA5F7D">
              <w:rPr>
                <w:rFonts w:ascii="Times New Roman" w:hAnsi="Times New Roman"/>
                <w:sz w:val="16"/>
                <w:szCs w:val="16"/>
              </w:rPr>
              <w:t xml:space="preserve"> zł</w:t>
            </w:r>
            <w:r w:rsidR="00E669DE">
              <w:rPr>
                <w:rFonts w:ascii="Times New Roman" w:hAnsi="Times New Roman"/>
                <w:sz w:val="16"/>
                <w:szCs w:val="16"/>
              </w:rPr>
              <w:t>;</w:t>
            </w:r>
            <w:r w:rsidR="00EA5F7D">
              <w:rPr>
                <w:rFonts w:ascii="Times New Roman" w:hAnsi="Times New Roman"/>
                <w:sz w:val="16"/>
                <w:szCs w:val="16"/>
              </w:rPr>
              <w:t xml:space="preserve"> </w:t>
            </w:r>
            <w:r w:rsidRPr="00E749C4">
              <w:rPr>
                <w:rFonts w:ascii="Times New Roman" w:hAnsi="Times New Roman"/>
                <w:sz w:val="16"/>
                <w:szCs w:val="16"/>
              </w:rPr>
              <w:t xml:space="preserve">stan końcowy </w:t>
            </w:r>
            <w:r w:rsidR="00D15A30">
              <w:rPr>
                <w:rFonts w:ascii="Times New Roman" w:hAnsi="Times New Roman"/>
                <w:sz w:val="16"/>
                <w:szCs w:val="16"/>
              </w:rPr>
              <w:t>910.401,70</w:t>
            </w:r>
            <w:r w:rsidRPr="00E749C4">
              <w:rPr>
                <w:rFonts w:ascii="Times New Roman" w:hAnsi="Times New Roman"/>
                <w:sz w:val="16"/>
                <w:szCs w:val="16"/>
              </w:rPr>
              <w:t xml:space="preserve"> zł; wartość netto początek roku </w:t>
            </w:r>
            <w:r w:rsidR="00D15A30">
              <w:rPr>
                <w:rFonts w:ascii="Times New Roman" w:hAnsi="Times New Roman"/>
                <w:sz w:val="16"/>
                <w:szCs w:val="16"/>
              </w:rPr>
              <w:t xml:space="preserve">310.423,50 </w:t>
            </w:r>
            <w:r w:rsidRPr="00E749C4">
              <w:rPr>
                <w:rFonts w:ascii="Times New Roman" w:hAnsi="Times New Roman"/>
                <w:sz w:val="16"/>
                <w:szCs w:val="16"/>
              </w:rPr>
              <w:t xml:space="preserve">zł; wartość netto koniec roku </w:t>
            </w:r>
            <w:r w:rsidR="00D15A30">
              <w:rPr>
                <w:rFonts w:ascii="Times New Roman" w:hAnsi="Times New Roman"/>
                <w:sz w:val="16"/>
                <w:szCs w:val="16"/>
              </w:rPr>
              <w:t>154.613,92</w:t>
            </w:r>
            <w:r w:rsidRPr="00E749C4">
              <w:rPr>
                <w:rFonts w:ascii="Times New Roman" w:hAnsi="Times New Roman"/>
                <w:sz w:val="16"/>
                <w:szCs w:val="16"/>
              </w:rPr>
              <w:t xml:space="preserve"> zł,</w:t>
            </w:r>
          </w:p>
          <w:p w:rsidR="00027806" w:rsidRPr="00E749C4" w:rsidRDefault="006A2EA4"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 xml:space="preserve">Grunty: stan początkowy </w:t>
            </w:r>
            <w:r w:rsidR="00D15A30">
              <w:rPr>
                <w:rFonts w:ascii="Times New Roman" w:hAnsi="Times New Roman"/>
                <w:sz w:val="16"/>
                <w:szCs w:val="16"/>
              </w:rPr>
              <w:t>1.835.303,16</w:t>
            </w:r>
            <w:r w:rsidR="00E669DE">
              <w:rPr>
                <w:rFonts w:ascii="Times New Roman" w:hAnsi="Times New Roman"/>
                <w:sz w:val="16"/>
                <w:szCs w:val="16"/>
              </w:rPr>
              <w:t xml:space="preserve"> </w:t>
            </w:r>
            <w:r w:rsidRPr="00E749C4">
              <w:rPr>
                <w:rFonts w:ascii="Times New Roman" w:hAnsi="Times New Roman"/>
                <w:sz w:val="16"/>
                <w:szCs w:val="16"/>
              </w:rPr>
              <w:t xml:space="preserve">zł; amortyzacja za rok </w:t>
            </w:r>
            <w:r w:rsidR="00D15A30">
              <w:rPr>
                <w:rFonts w:ascii="Times New Roman" w:hAnsi="Times New Roman"/>
                <w:sz w:val="16"/>
                <w:szCs w:val="16"/>
              </w:rPr>
              <w:t>245.186,81</w:t>
            </w:r>
            <w:r w:rsidRPr="00E749C4">
              <w:rPr>
                <w:rFonts w:ascii="Times New Roman" w:hAnsi="Times New Roman"/>
                <w:sz w:val="16"/>
                <w:szCs w:val="16"/>
              </w:rPr>
              <w:t xml:space="preserve"> zł;</w:t>
            </w:r>
            <w:r w:rsidR="00CE7908">
              <w:rPr>
                <w:rFonts w:ascii="Times New Roman" w:hAnsi="Times New Roman"/>
                <w:sz w:val="16"/>
                <w:szCs w:val="16"/>
              </w:rPr>
              <w:t xml:space="preserve"> </w:t>
            </w:r>
            <w:r w:rsidRPr="00E749C4">
              <w:rPr>
                <w:rFonts w:ascii="Times New Roman" w:hAnsi="Times New Roman"/>
                <w:sz w:val="16"/>
                <w:szCs w:val="16"/>
              </w:rPr>
              <w:t xml:space="preserve">zmniejszenie umorzenia </w:t>
            </w:r>
            <w:r w:rsidR="00D15A30">
              <w:rPr>
                <w:rFonts w:ascii="Times New Roman" w:hAnsi="Times New Roman"/>
                <w:sz w:val="16"/>
                <w:szCs w:val="16"/>
              </w:rPr>
              <w:t>35.836,44</w:t>
            </w:r>
            <w:r w:rsidR="00A97CC8">
              <w:rPr>
                <w:rFonts w:ascii="Times New Roman" w:hAnsi="Times New Roman"/>
                <w:sz w:val="16"/>
                <w:szCs w:val="16"/>
              </w:rPr>
              <w:t xml:space="preserve"> zł; stan końcowy </w:t>
            </w:r>
            <w:r w:rsidR="00D15A30">
              <w:rPr>
                <w:rFonts w:ascii="Times New Roman" w:hAnsi="Times New Roman"/>
                <w:sz w:val="16"/>
                <w:szCs w:val="16"/>
              </w:rPr>
              <w:t>2.044.653,53</w:t>
            </w:r>
            <w:r w:rsidR="00027806" w:rsidRPr="00E749C4">
              <w:rPr>
                <w:rFonts w:ascii="Times New Roman" w:hAnsi="Times New Roman"/>
                <w:sz w:val="16"/>
                <w:szCs w:val="16"/>
              </w:rPr>
              <w:t xml:space="preserve"> zł; wartość </w:t>
            </w:r>
            <w:r w:rsidR="002B7F08" w:rsidRPr="00E749C4">
              <w:rPr>
                <w:rFonts w:ascii="Times New Roman" w:hAnsi="Times New Roman"/>
                <w:sz w:val="16"/>
                <w:szCs w:val="16"/>
              </w:rPr>
              <w:t xml:space="preserve">netto początek roku </w:t>
            </w:r>
            <w:r w:rsidR="00D15A30">
              <w:rPr>
                <w:rFonts w:ascii="Times New Roman" w:hAnsi="Times New Roman"/>
                <w:sz w:val="16"/>
                <w:szCs w:val="16"/>
              </w:rPr>
              <w:t>74.383.197,64</w:t>
            </w:r>
            <w:r w:rsidR="00893A62">
              <w:rPr>
                <w:rFonts w:ascii="Times New Roman" w:hAnsi="Times New Roman"/>
                <w:sz w:val="16"/>
                <w:szCs w:val="16"/>
              </w:rPr>
              <w:t xml:space="preserve"> </w:t>
            </w:r>
            <w:r w:rsidR="002B7F08" w:rsidRPr="00E749C4">
              <w:rPr>
                <w:rFonts w:ascii="Times New Roman" w:hAnsi="Times New Roman"/>
                <w:sz w:val="16"/>
                <w:szCs w:val="16"/>
              </w:rPr>
              <w:t>zł; wartość netto koniec roku</w:t>
            </w:r>
            <w:r w:rsidR="00893A62">
              <w:rPr>
                <w:rFonts w:ascii="Times New Roman" w:hAnsi="Times New Roman"/>
                <w:sz w:val="16"/>
                <w:szCs w:val="16"/>
              </w:rPr>
              <w:t xml:space="preserve"> </w:t>
            </w:r>
            <w:r w:rsidR="002B7F08" w:rsidRPr="00E749C4">
              <w:rPr>
                <w:rFonts w:ascii="Times New Roman" w:hAnsi="Times New Roman"/>
                <w:sz w:val="16"/>
                <w:szCs w:val="16"/>
              </w:rPr>
              <w:t xml:space="preserve"> </w:t>
            </w:r>
            <w:r w:rsidR="00D15A30">
              <w:rPr>
                <w:rFonts w:ascii="Times New Roman" w:hAnsi="Times New Roman"/>
                <w:sz w:val="16"/>
                <w:szCs w:val="16"/>
              </w:rPr>
              <w:t>76.200.618,78</w:t>
            </w:r>
            <w:r w:rsidR="007D3957" w:rsidRPr="00E749C4">
              <w:rPr>
                <w:rFonts w:ascii="Times New Roman" w:hAnsi="Times New Roman"/>
                <w:sz w:val="16"/>
                <w:szCs w:val="16"/>
              </w:rPr>
              <w:t xml:space="preserve"> zł,</w:t>
            </w:r>
          </w:p>
          <w:p w:rsidR="00027806" w:rsidRPr="00E749C4" w:rsidRDefault="00027806"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Budynki i lokale: stan początkowy</w:t>
            </w:r>
            <w:r w:rsidR="007D3957" w:rsidRPr="00E749C4">
              <w:rPr>
                <w:rFonts w:ascii="Times New Roman" w:hAnsi="Times New Roman"/>
                <w:sz w:val="16"/>
                <w:szCs w:val="16"/>
              </w:rPr>
              <w:t xml:space="preserve"> </w:t>
            </w:r>
            <w:r w:rsidR="00D15A30">
              <w:rPr>
                <w:rFonts w:ascii="Times New Roman" w:hAnsi="Times New Roman"/>
                <w:sz w:val="16"/>
                <w:szCs w:val="16"/>
              </w:rPr>
              <w:t>13.386.257,2</w:t>
            </w:r>
            <w:r w:rsidR="00B01488">
              <w:rPr>
                <w:rFonts w:ascii="Times New Roman" w:hAnsi="Times New Roman"/>
                <w:sz w:val="16"/>
                <w:szCs w:val="16"/>
              </w:rPr>
              <w:t>6</w:t>
            </w:r>
            <w:r w:rsidR="00893A62">
              <w:rPr>
                <w:rFonts w:ascii="Times New Roman" w:hAnsi="Times New Roman"/>
                <w:sz w:val="16"/>
                <w:szCs w:val="16"/>
              </w:rPr>
              <w:t xml:space="preserve"> </w:t>
            </w:r>
            <w:r w:rsidR="000E07DF" w:rsidRPr="00E749C4">
              <w:rPr>
                <w:rFonts w:ascii="Times New Roman" w:hAnsi="Times New Roman"/>
                <w:sz w:val="16"/>
                <w:szCs w:val="16"/>
              </w:rPr>
              <w:t xml:space="preserve">zł; amortyzacja za rok  </w:t>
            </w:r>
            <w:r w:rsidR="00D15A30">
              <w:rPr>
                <w:rFonts w:ascii="Times New Roman" w:hAnsi="Times New Roman"/>
                <w:sz w:val="16"/>
                <w:szCs w:val="16"/>
              </w:rPr>
              <w:t xml:space="preserve">5.238.760,18 </w:t>
            </w:r>
            <w:r w:rsidR="000E07DF" w:rsidRPr="00E749C4">
              <w:rPr>
                <w:rFonts w:ascii="Times New Roman" w:hAnsi="Times New Roman"/>
                <w:sz w:val="16"/>
                <w:szCs w:val="16"/>
              </w:rPr>
              <w:t xml:space="preserve">zł; </w:t>
            </w:r>
            <w:r w:rsidR="00A97CC8" w:rsidRPr="00E749C4">
              <w:rPr>
                <w:rFonts w:ascii="Times New Roman" w:hAnsi="Times New Roman"/>
                <w:sz w:val="16"/>
                <w:szCs w:val="16"/>
              </w:rPr>
              <w:t xml:space="preserve">zmniejszenie umorzenia </w:t>
            </w:r>
            <w:r w:rsidR="00D15A30">
              <w:rPr>
                <w:rFonts w:ascii="Times New Roman" w:hAnsi="Times New Roman"/>
                <w:sz w:val="16"/>
                <w:szCs w:val="16"/>
              </w:rPr>
              <w:t xml:space="preserve">252.072,73 </w:t>
            </w:r>
            <w:r w:rsidR="000E07DF" w:rsidRPr="00E749C4">
              <w:rPr>
                <w:rFonts w:ascii="Times New Roman" w:hAnsi="Times New Roman"/>
                <w:sz w:val="16"/>
                <w:szCs w:val="16"/>
              </w:rPr>
              <w:t xml:space="preserve">zł; stan końcowy </w:t>
            </w:r>
            <w:r w:rsidR="00D15A30">
              <w:rPr>
                <w:rFonts w:ascii="Times New Roman" w:hAnsi="Times New Roman"/>
                <w:sz w:val="16"/>
                <w:szCs w:val="16"/>
              </w:rPr>
              <w:t>18.372.944,71</w:t>
            </w:r>
            <w:r w:rsidR="00893A62">
              <w:rPr>
                <w:rFonts w:ascii="Times New Roman" w:hAnsi="Times New Roman"/>
                <w:sz w:val="16"/>
                <w:szCs w:val="16"/>
              </w:rPr>
              <w:t xml:space="preserve"> </w:t>
            </w:r>
            <w:r w:rsidR="000E07DF" w:rsidRPr="00E749C4">
              <w:rPr>
                <w:rFonts w:ascii="Times New Roman" w:hAnsi="Times New Roman"/>
                <w:sz w:val="16"/>
                <w:szCs w:val="16"/>
              </w:rPr>
              <w:t xml:space="preserve">zł; wartość netto początek roku </w:t>
            </w:r>
            <w:r w:rsidR="00893A62">
              <w:rPr>
                <w:rFonts w:ascii="Times New Roman" w:hAnsi="Times New Roman"/>
                <w:sz w:val="16"/>
                <w:szCs w:val="16"/>
              </w:rPr>
              <w:t xml:space="preserve"> </w:t>
            </w:r>
            <w:r w:rsidR="00D15A30">
              <w:rPr>
                <w:rFonts w:ascii="Times New Roman" w:hAnsi="Times New Roman"/>
                <w:sz w:val="16"/>
                <w:szCs w:val="16"/>
              </w:rPr>
              <w:t>42.863.248,60</w:t>
            </w:r>
            <w:r w:rsidR="00543383">
              <w:rPr>
                <w:rFonts w:ascii="Times New Roman" w:hAnsi="Times New Roman"/>
                <w:sz w:val="16"/>
                <w:szCs w:val="16"/>
              </w:rPr>
              <w:t xml:space="preserve"> </w:t>
            </w:r>
            <w:r w:rsidR="000E07DF" w:rsidRPr="00E749C4">
              <w:rPr>
                <w:rFonts w:ascii="Times New Roman" w:hAnsi="Times New Roman"/>
                <w:sz w:val="16"/>
                <w:szCs w:val="16"/>
              </w:rPr>
              <w:t xml:space="preserve">zł; wartość netto koniec roku </w:t>
            </w:r>
            <w:r w:rsidR="00D15A30">
              <w:rPr>
                <w:rFonts w:ascii="Times New Roman" w:hAnsi="Times New Roman"/>
                <w:sz w:val="16"/>
                <w:szCs w:val="16"/>
              </w:rPr>
              <w:t>62.997.377,44</w:t>
            </w:r>
            <w:r w:rsidR="000E07DF" w:rsidRPr="00E749C4">
              <w:rPr>
                <w:rFonts w:ascii="Times New Roman" w:hAnsi="Times New Roman"/>
                <w:sz w:val="16"/>
                <w:szCs w:val="16"/>
              </w:rPr>
              <w:t xml:space="preserve"> zł,</w:t>
            </w:r>
          </w:p>
          <w:p w:rsidR="00027806" w:rsidRPr="00E749C4" w:rsidRDefault="00027806"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Obiekty inżynierii lądowej i wodnej: stan początkowy</w:t>
            </w:r>
            <w:r w:rsidR="002B7F08" w:rsidRPr="00E749C4">
              <w:rPr>
                <w:rFonts w:ascii="Times New Roman" w:hAnsi="Times New Roman"/>
                <w:sz w:val="16"/>
                <w:szCs w:val="16"/>
              </w:rPr>
              <w:t xml:space="preserve"> </w:t>
            </w:r>
            <w:r w:rsidR="009006FC">
              <w:rPr>
                <w:rFonts w:ascii="Times New Roman" w:hAnsi="Times New Roman"/>
                <w:sz w:val="16"/>
                <w:szCs w:val="16"/>
              </w:rPr>
              <w:t xml:space="preserve">152.045.977,52 </w:t>
            </w:r>
            <w:r w:rsidR="00893A62">
              <w:rPr>
                <w:rFonts w:ascii="Times New Roman" w:hAnsi="Times New Roman"/>
                <w:sz w:val="16"/>
                <w:szCs w:val="16"/>
              </w:rPr>
              <w:t>zł</w:t>
            </w:r>
            <w:r w:rsidR="002B7F08" w:rsidRPr="00E749C4">
              <w:rPr>
                <w:rFonts w:ascii="Times New Roman" w:hAnsi="Times New Roman"/>
                <w:sz w:val="16"/>
                <w:szCs w:val="16"/>
              </w:rPr>
              <w:t xml:space="preserve">; amortyzacja za rok </w:t>
            </w:r>
            <w:r w:rsidR="009006FC">
              <w:rPr>
                <w:rFonts w:ascii="Times New Roman" w:hAnsi="Times New Roman"/>
                <w:sz w:val="16"/>
                <w:szCs w:val="16"/>
              </w:rPr>
              <w:t xml:space="preserve">14.963.027,06 </w:t>
            </w:r>
            <w:r w:rsidR="000E07DF" w:rsidRPr="00E749C4">
              <w:rPr>
                <w:rFonts w:ascii="Times New Roman" w:hAnsi="Times New Roman"/>
                <w:sz w:val="16"/>
                <w:szCs w:val="16"/>
              </w:rPr>
              <w:t>zł</w:t>
            </w:r>
            <w:r w:rsidR="00CE573E">
              <w:rPr>
                <w:rFonts w:ascii="Times New Roman" w:hAnsi="Times New Roman"/>
                <w:sz w:val="16"/>
                <w:szCs w:val="16"/>
              </w:rPr>
              <w:t xml:space="preserve">; </w:t>
            </w:r>
            <w:r w:rsidR="00543383">
              <w:rPr>
                <w:rFonts w:ascii="Times New Roman" w:hAnsi="Times New Roman"/>
                <w:sz w:val="16"/>
                <w:szCs w:val="16"/>
              </w:rPr>
              <w:t>z</w:t>
            </w:r>
            <w:r w:rsidR="00CE573E">
              <w:rPr>
                <w:rFonts w:ascii="Times New Roman" w:hAnsi="Times New Roman"/>
                <w:sz w:val="16"/>
                <w:szCs w:val="16"/>
              </w:rPr>
              <w:t xml:space="preserve">mniejszenie umorzenia </w:t>
            </w:r>
            <w:r w:rsidR="009006FC">
              <w:rPr>
                <w:rFonts w:ascii="Times New Roman" w:hAnsi="Times New Roman"/>
                <w:sz w:val="16"/>
                <w:szCs w:val="16"/>
              </w:rPr>
              <w:t xml:space="preserve">652.956,90 </w:t>
            </w:r>
            <w:r w:rsidR="00CE573E">
              <w:rPr>
                <w:rFonts w:ascii="Times New Roman" w:hAnsi="Times New Roman"/>
                <w:sz w:val="16"/>
                <w:szCs w:val="16"/>
              </w:rPr>
              <w:t xml:space="preserve">zł; </w:t>
            </w:r>
            <w:r w:rsidR="000E07DF" w:rsidRPr="00E749C4">
              <w:rPr>
                <w:rFonts w:ascii="Times New Roman" w:hAnsi="Times New Roman"/>
                <w:sz w:val="16"/>
                <w:szCs w:val="16"/>
              </w:rPr>
              <w:t xml:space="preserve">stan końcowy </w:t>
            </w:r>
            <w:r w:rsidR="009006FC">
              <w:rPr>
                <w:rFonts w:ascii="Times New Roman" w:hAnsi="Times New Roman"/>
                <w:sz w:val="16"/>
                <w:szCs w:val="16"/>
              </w:rPr>
              <w:t>166.356.047,68</w:t>
            </w:r>
            <w:r w:rsidR="00543383">
              <w:rPr>
                <w:rFonts w:ascii="Times New Roman" w:hAnsi="Times New Roman"/>
                <w:sz w:val="16"/>
                <w:szCs w:val="16"/>
              </w:rPr>
              <w:t xml:space="preserve"> </w:t>
            </w:r>
            <w:r w:rsidR="000E07DF" w:rsidRPr="00E749C4">
              <w:rPr>
                <w:rFonts w:ascii="Times New Roman" w:hAnsi="Times New Roman"/>
                <w:sz w:val="16"/>
                <w:szCs w:val="16"/>
              </w:rPr>
              <w:t>zł; wartość ne</w:t>
            </w:r>
            <w:r w:rsidR="002B7F08" w:rsidRPr="00E749C4">
              <w:rPr>
                <w:rFonts w:ascii="Times New Roman" w:hAnsi="Times New Roman"/>
                <w:sz w:val="16"/>
                <w:szCs w:val="16"/>
              </w:rPr>
              <w:t xml:space="preserve">tto początek roku </w:t>
            </w:r>
            <w:r w:rsidR="009006FC">
              <w:rPr>
                <w:rFonts w:ascii="Times New Roman" w:hAnsi="Times New Roman"/>
                <w:sz w:val="16"/>
                <w:szCs w:val="16"/>
              </w:rPr>
              <w:t>182.343.374,26</w:t>
            </w:r>
            <w:r w:rsidR="00CE573E">
              <w:rPr>
                <w:rFonts w:ascii="Times New Roman" w:hAnsi="Times New Roman"/>
                <w:sz w:val="16"/>
                <w:szCs w:val="16"/>
              </w:rPr>
              <w:t xml:space="preserve"> </w:t>
            </w:r>
            <w:r w:rsidR="000E07DF" w:rsidRPr="00E749C4">
              <w:rPr>
                <w:rFonts w:ascii="Times New Roman" w:hAnsi="Times New Roman"/>
                <w:sz w:val="16"/>
                <w:szCs w:val="16"/>
              </w:rPr>
              <w:t xml:space="preserve"> zł; wartość netto koniec roku </w:t>
            </w:r>
            <w:r w:rsidR="009006FC">
              <w:rPr>
                <w:rFonts w:ascii="Times New Roman" w:hAnsi="Times New Roman"/>
                <w:sz w:val="16"/>
                <w:szCs w:val="16"/>
              </w:rPr>
              <w:t>176.100.555,32</w:t>
            </w:r>
            <w:r w:rsidR="00CE573E">
              <w:rPr>
                <w:rFonts w:ascii="Times New Roman" w:hAnsi="Times New Roman"/>
                <w:sz w:val="16"/>
                <w:szCs w:val="16"/>
              </w:rPr>
              <w:t xml:space="preserve"> </w:t>
            </w:r>
            <w:r w:rsidR="000E07DF" w:rsidRPr="00E749C4">
              <w:rPr>
                <w:rFonts w:ascii="Times New Roman" w:hAnsi="Times New Roman"/>
                <w:sz w:val="16"/>
                <w:szCs w:val="16"/>
              </w:rPr>
              <w:t>zł,</w:t>
            </w:r>
          </w:p>
          <w:p w:rsidR="009E77DC" w:rsidRPr="00E749C4" w:rsidRDefault="00027806"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 xml:space="preserve">Kotły i maszyny energetyczne: stan początkowy </w:t>
            </w:r>
            <w:r w:rsidR="009006FC">
              <w:rPr>
                <w:rFonts w:ascii="Times New Roman" w:hAnsi="Times New Roman"/>
                <w:sz w:val="16"/>
                <w:szCs w:val="16"/>
              </w:rPr>
              <w:t>228.043,90</w:t>
            </w:r>
            <w:r w:rsidR="00CE7908">
              <w:rPr>
                <w:rFonts w:ascii="Times New Roman" w:hAnsi="Times New Roman"/>
                <w:sz w:val="16"/>
                <w:szCs w:val="16"/>
              </w:rPr>
              <w:t xml:space="preserve"> </w:t>
            </w:r>
            <w:r w:rsidR="000E07DF" w:rsidRPr="00E749C4">
              <w:rPr>
                <w:rFonts w:ascii="Times New Roman" w:hAnsi="Times New Roman"/>
                <w:sz w:val="16"/>
                <w:szCs w:val="16"/>
              </w:rPr>
              <w:t xml:space="preserve"> </w:t>
            </w:r>
            <w:r w:rsidR="002B7F08" w:rsidRPr="00E749C4">
              <w:rPr>
                <w:rFonts w:ascii="Times New Roman" w:hAnsi="Times New Roman"/>
                <w:sz w:val="16"/>
                <w:szCs w:val="16"/>
              </w:rPr>
              <w:t xml:space="preserve">zł; amortyzacja za rok </w:t>
            </w:r>
            <w:r w:rsidR="009006FC">
              <w:rPr>
                <w:rFonts w:ascii="Times New Roman" w:hAnsi="Times New Roman"/>
                <w:sz w:val="16"/>
                <w:szCs w:val="16"/>
              </w:rPr>
              <w:t>24.045,66</w:t>
            </w:r>
            <w:r w:rsidR="000E07DF" w:rsidRPr="00E749C4">
              <w:rPr>
                <w:rFonts w:ascii="Times New Roman" w:hAnsi="Times New Roman"/>
                <w:sz w:val="16"/>
                <w:szCs w:val="16"/>
              </w:rPr>
              <w:t xml:space="preserve"> zł; stan końcowy </w:t>
            </w:r>
            <w:r w:rsidR="009006FC">
              <w:rPr>
                <w:rFonts w:ascii="Times New Roman" w:hAnsi="Times New Roman"/>
                <w:sz w:val="16"/>
                <w:szCs w:val="16"/>
              </w:rPr>
              <w:t>252.089,56</w:t>
            </w:r>
            <w:r w:rsidR="00CE7908">
              <w:rPr>
                <w:rFonts w:ascii="Times New Roman" w:hAnsi="Times New Roman"/>
                <w:sz w:val="16"/>
                <w:szCs w:val="16"/>
              </w:rPr>
              <w:t xml:space="preserve"> </w:t>
            </w:r>
            <w:r w:rsidR="000E07DF" w:rsidRPr="00E749C4">
              <w:rPr>
                <w:rFonts w:ascii="Times New Roman" w:hAnsi="Times New Roman"/>
                <w:sz w:val="16"/>
                <w:szCs w:val="16"/>
              </w:rPr>
              <w:t>zł; wart</w:t>
            </w:r>
            <w:r w:rsidR="002B7F08" w:rsidRPr="00E749C4">
              <w:rPr>
                <w:rFonts w:ascii="Times New Roman" w:hAnsi="Times New Roman"/>
                <w:sz w:val="16"/>
                <w:szCs w:val="16"/>
              </w:rPr>
              <w:t xml:space="preserve">ość netto początek roku </w:t>
            </w:r>
            <w:r w:rsidR="009006FC">
              <w:rPr>
                <w:rFonts w:ascii="Times New Roman" w:hAnsi="Times New Roman"/>
                <w:sz w:val="16"/>
                <w:szCs w:val="16"/>
              </w:rPr>
              <w:t>158.356,38</w:t>
            </w:r>
            <w:r w:rsidR="00CE573E">
              <w:rPr>
                <w:rFonts w:ascii="Times New Roman" w:hAnsi="Times New Roman"/>
                <w:sz w:val="16"/>
                <w:szCs w:val="16"/>
              </w:rPr>
              <w:t xml:space="preserve"> </w:t>
            </w:r>
            <w:r w:rsidR="000E07DF" w:rsidRPr="00E749C4">
              <w:rPr>
                <w:rFonts w:ascii="Times New Roman" w:hAnsi="Times New Roman"/>
                <w:sz w:val="16"/>
                <w:szCs w:val="16"/>
              </w:rPr>
              <w:t xml:space="preserve">zł; wartość netto koniec roku </w:t>
            </w:r>
            <w:r w:rsidR="009006FC">
              <w:rPr>
                <w:rFonts w:ascii="Times New Roman" w:hAnsi="Times New Roman"/>
                <w:sz w:val="16"/>
                <w:szCs w:val="16"/>
              </w:rPr>
              <w:t>134.310,72</w:t>
            </w:r>
            <w:r w:rsidR="000E07DF" w:rsidRPr="00E749C4">
              <w:rPr>
                <w:rFonts w:ascii="Times New Roman" w:hAnsi="Times New Roman"/>
                <w:sz w:val="16"/>
                <w:szCs w:val="16"/>
              </w:rPr>
              <w:t xml:space="preserve"> 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 xml:space="preserve">Maszyny, urządzenia i aparaty ogólnego zastosowania: stan początkowy </w:t>
            </w:r>
            <w:r w:rsidR="009006FC">
              <w:rPr>
                <w:rFonts w:ascii="Times New Roman" w:hAnsi="Times New Roman"/>
                <w:sz w:val="16"/>
                <w:szCs w:val="16"/>
              </w:rPr>
              <w:t>16.013.857,42</w:t>
            </w:r>
            <w:r w:rsidR="000E07DF" w:rsidRPr="00E749C4">
              <w:rPr>
                <w:rFonts w:ascii="Times New Roman" w:hAnsi="Times New Roman"/>
                <w:sz w:val="16"/>
                <w:szCs w:val="16"/>
              </w:rPr>
              <w:t xml:space="preserve"> zł; amortyzacja za rok </w:t>
            </w:r>
            <w:r w:rsidR="009006FC">
              <w:rPr>
                <w:rFonts w:ascii="Times New Roman" w:hAnsi="Times New Roman"/>
                <w:sz w:val="16"/>
                <w:szCs w:val="16"/>
              </w:rPr>
              <w:t>1.066.926,92</w:t>
            </w:r>
            <w:r w:rsidR="000E07DF" w:rsidRPr="00E749C4">
              <w:rPr>
                <w:rFonts w:ascii="Times New Roman" w:hAnsi="Times New Roman"/>
                <w:sz w:val="16"/>
                <w:szCs w:val="16"/>
              </w:rPr>
              <w:t xml:space="preserve"> zł; </w:t>
            </w:r>
            <w:r w:rsidR="006666FB">
              <w:rPr>
                <w:rFonts w:ascii="Times New Roman" w:hAnsi="Times New Roman"/>
                <w:sz w:val="16"/>
                <w:szCs w:val="16"/>
              </w:rPr>
              <w:t xml:space="preserve">zmniejszenie umorzenia </w:t>
            </w:r>
            <w:r w:rsidR="00CE573E">
              <w:rPr>
                <w:rFonts w:ascii="Times New Roman" w:hAnsi="Times New Roman"/>
                <w:sz w:val="16"/>
                <w:szCs w:val="16"/>
              </w:rPr>
              <w:t xml:space="preserve"> </w:t>
            </w:r>
            <w:r w:rsidR="009006FC">
              <w:rPr>
                <w:rFonts w:ascii="Times New Roman" w:hAnsi="Times New Roman"/>
                <w:sz w:val="16"/>
                <w:szCs w:val="16"/>
              </w:rPr>
              <w:t>622.714,12</w:t>
            </w:r>
            <w:r w:rsidR="006666FB">
              <w:rPr>
                <w:rFonts w:ascii="Times New Roman" w:hAnsi="Times New Roman"/>
                <w:sz w:val="16"/>
                <w:szCs w:val="16"/>
              </w:rPr>
              <w:t xml:space="preserve"> zł; </w:t>
            </w:r>
            <w:r w:rsidR="000E07DF" w:rsidRPr="00E749C4">
              <w:rPr>
                <w:rFonts w:ascii="Times New Roman" w:hAnsi="Times New Roman"/>
                <w:sz w:val="16"/>
                <w:szCs w:val="16"/>
              </w:rPr>
              <w:t xml:space="preserve">stan końcowy </w:t>
            </w:r>
            <w:r w:rsidR="009006FC">
              <w:rPr>
                <w:rFonts w:ascii="Times New Roman" w:hAnsi="Times New Roman"/>
                <w:sz w:val="16"/>
                <w:szCs w:val="16"/>
              </w:rPr>
              <w:t>16.458.070,22</w:t>
            </w:r>
            <w:r w:rsidR="000E07DF" w:rsidRPr="00E749C4">
              <w:rPr>
                <w:rFonts w:ascii="Times New Roman" w:hAnsi="Times New Roman"/>
                <w:sz w:val="16"/>
                <w:szCs w:val="16"/>
              </w:rPr>
              <w:t xml:space="preserve"> zł; wartość netto początek roku </w:t>
            </w:r>
            <w:r w:rsidR="009006FC">
              <w:rPr>
                <w:rFonts w:ascii="Times New Roman" w:hAnsi="Times New Roman"/>
                <w:sz w:val="16"/>
                <w:szCs w:val="16"/>
              </w:rPr>
              <w:t>3.387.530,83</w:t>
            </w:r>
            <w:r w:rsidR="009F54A8" w:rsidRPr="00E749C4">
              <w:rPr>
                <w:rFonts w:ascii="Times New Roman" w:hAnsi="Times New Roman"/>
                <w:sz w:val="16"/>
                <w:szCs w:val="16"/>
              </w:rPr>
              <w:t xml:space="preserve"> zł; wartość netto koniec roku </w:t>
            </w:r>
            <w:r w:rsidR="009006FC">
              <w:rPr>
                <w:rFonts w:ascii="Times New Roman" w:hAnsi="Times New Roman"/>
                <w:sz w:val="16"/>
                <w:szCs w:val="16"/>
              </w:rPr>
              <w:t>2</w:t>
            </w:r>
            <w:r w:rsidR="003479FE">
              <w:rPr>
                <w:rFonts w:ascii="Times New Roman" w:hAnsi="Times New Roman"/>
                <w:sz w:val="16"/>
                <w:szCs w:val="16"/>
              </w:rPr>
              <w:t>.</w:t>
            </w:r>
            <w:r w:rsidR="009006FC">
              <w:rPr>
                <w:rFonts w:ascii="Times New Roman" w:hAnsi="Times New Roman"/>
                <w:sz w:val="16"/>
                <w:szCs w:val="16"/>
              </w:rPr>
              <w:t>560.031,88</w:t>
            </w:r>
            <w:r w:rsidR="009F54A8" w:rsidRPr="00E749C4">
              <w:rPr>
                <w:rFonts w:ascii="Times New Roman" w:hAnsi="Times New Roman"/>
                <w:sz w:val="16"/>
                <w:szCs w:val="16"/>
              </w:rPr>
              <w:t xml:space="preserve"> 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 xml:space="preserve">Maszyny, urządzenia i aparaty specjalistyczne: stan początkowy </w:t>
            </w:r>
            <w:r w:rsidR="009006FC">
              <w:rPr>
                <w:rFonts w:ascii="Times New Roman" w:hAnsi="Times New Roman"/>
                <w:sz w:val="16"/>
                <w:szCs w:val="16"/>
              </w:rPr>
              <w:t>4.491,78</w:t>
            </w:r>
            <w:r w:rsidR="00D42C12" w:rsidRPr="00E749C4">
              <w:rPr>
                <w:rFonts w:ascii="Times New Roman" w:hAnsi="Times New Roman"/>
                <w:sz w:val="16"/>
                <w:szCs w:val="16"/>
              </w:rPr>
              <w:t xml:space="preserve"> zł</w:t>
            </w:r>
            <w:r w:rsidR="00A1614D">
              <w:rPr>
                <w:rFonts w:ascii="Times New Roman" w:hAnsi="Times New Roman"/>
                <w:sz w:val="16"/>
                <w:szCs w:val="16"/>
              </w:rPr>
              <w:t xml:space="preserve">; </w:t>
            </w:r>
            <w:r w:rsidR="00D42C12" w:rsidRPr="00E749C4">
              <w:rPr>
                <w:rFonts w:ascii="Times New Roman" w:hAnsi="Times New Roman"/>
                <w:sz w:val="16"/>
                <w:szCs w:val="16"/>
              </w:rPr>
              <w:t xml:space="preserve">stan końcowy </w:t>
            </w:r>
            <w:r w:rsidR="00A1614D">
              <w:rPr>
                <w:rFonts w:ascii="Times New Roman" w:hAnsi="Times New Roman"/>
                <w:sz w:val="16"/>
                <w:szCs w:val="16"/>
              </w:rPr>
              <w:t xml:space="preserve">4.491,78 </w:t>
            </w:r>
            <w:r w:rsidR="00D42C12" w:rsidRPr="00E749C4">
              <w:rPr>
                <w:rFonts w:ascii="Times New Roman" w:hAnsi="Times New Roman"/>
                <w:sz w:val="16"/>
                <w:szCs w:val="16"/>
              </w:rPr>
              <w:t>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Urządzenia techniczne: stan początkowy</w:t>
            </w:r>
            <w:r w:rsidR="002B7F08" w:rsidRPr="00E749C4">
              <w:rPr>
                <w:rFonts w:ascii="Times New Roman" w:hAnsi="Times New Roman"/>
                <w:sz w:val="16"/>
                <w:szCs w:val="16"/>
              </w:rPr>
              <w:t xml:space="preserve"> </w:t>
            </w:r>
            <w:r w:rsidR="00CE573E">
              <w:rPr>
                <w:rFonts w:ascii="Times New Roman" w:hAnsi="Times New Roman"/>
                <w:sz w:val="16"/>
                <w:szCs w:val="16"/>
              </w:rPr>
              <w:t xml:space="preserve"> </w:t>
            </w:r>
            <w:r w:rsidR="009006FC">
              <w:rPr>
                <w:rFonts w:ascii="Times New Roman" w:hAnsi="Times New Roman"/>
                <w:sz w:val="16"/>
                <w:szCs w:val="16"/>
              </w:rPr>
              <w:t>7.486.963,68</w:t>
            </w:r>
            <w:r w:rsidR="00B85A72">
              <w:rPr>
                <w:rFonts w:ascii="Times New Roman" w:hAnsi="Times New Roman"/>
                <w:sz w:val="16"/>
                <w:szCs w:val="16"/>
              </w:rPr>
              <w:t xml:space="preserve"> zł; amortyzacja za rok </w:t>
            </w:r>
            <w:r w:rsidR="009006FC">
              <w:rPr>
                <w:rFonts w:ascii="Times New Roman" w:hAnsi="Times New Roman"/>
                <w:sz w:val="16"/>
                <w:szCs w:val="16"/>
              </w:rPr>
              <w:t>1.685</w:t>
            </w:r>
            <w:r w:rsidR="003479FE">
              <w:rPr>
                <w:rFonts w:ascii="Times New Roman" w:hAnsi="Times New Roman"/>
                <w:sz w:val="16"/>
                <w:szCs w:val="16"/>
              </w:rPr>
              <w:t>.</w:t>
            </w:r>
            <w:r w:rsidR="009006FC">
              <w:rPr>
                <w:rFonts w:ascii="Times New Roman" w:hAnsi="Times New Roman"/>
                <w:sz w:val="16"/>
                <w:szCs w:val="16"/>
              </w:rPr>
              <w:t xml:space="preserve">683,47 </w:t>
            </w:r>
            <w:r w:rsidR="00D42C12" w:rsidRPr="00E749C4">
              <w:rPr>
                <w:rFonts w:ascii="Times New Roman" w:hAnsi="Times New Roman"/>
                <w:sz w:val="16"/>
                <w:szCs w:val="16"/>
              </w:rPr>
              <w:t>zł;</w:t>
            </w:r>
            <w:r w:rsidR="00B85A72">
              <w:rPr>
                <w:rFonts w:ascii="Times New Roman" w:hAnsi="Times New Roman"/>
                <w:sz w:val="16"/>
                <w:szCs w:val="16"/>
              </w:rPr>
              <w:t xml:space="preserve"> </w:t>
            </w:r>
            <w:r w:rsidR="00D42C12" w:rsidRPr="00E749C4">
              <w:rPr>
                <w:rFonts w:ascii="Times New Roman" w:hAnsi="Times New Roman"/>
                <w:sz w:val="16"/>
                <w:szCs w:val="16"/>
              </w:rPr>
              <w:t xml:space="preserve">zmniejszenie umorzenia </w:t>
            </w:r>
            <w:r w:rsidR="009006FC">
              <w:rPr>
                <w:rFonts w:ascii="Times New Roman" w:hAnsi="Times New Roman"/>
                <w:sz w:val="16"/>
                <w:szCs w:val="16"/>
              </w:rPr>
              <w:t>431.878,87</w:t>
            </w:r>
            <w:r w:rsidR="00CE573E">
              <w:rPr>
                <w:rFonts w:ascii="Times New Roman" w:hAnsi="Times New Roman"/>
                <w:sz w:val="16"/>
                <w:szCs w:val="16"/>
              </w:rPr>
              <w:t xml:space="preserve"> </w:t>
            </w:r>
            <w:r w:rsidR="00D42C12" w:rsidRPr="00E749C4">
              <w:rPr>
                <w:rFonts w:ascii="Times New Roman" w:hAnsi="Times New Roman"/>
                <w:sz w:val="16"/>
                <w:szCs w:val="16"/>
              </w:rPr>
              <w:t xml:space="preserve">zł; stan końcowy </w:t>
            </w:r>
            <w:r w:rsidR="009006FC">
              <w:rPr>
                <w:rFonts w:ascii="Times New Roman" w:hAnsi="Times New Roman"/>
                <w:sz w:val="16"/>
                <w:szCs w:val="16"/>
              </w:rPr>
              <w:t>8.740.768,28</w:t>
            </w:r>
            <w:r w:rsidR="00D42C12" w:rsidRPr="00E749C4">
              <w:rPr>
                <w:rFonts w:ascii="Times New Roman" w:hAnsi="Times New Roman"/>
                <w:sz w:val="16"/>
                <w:szCs w:val="16"/>
              </w:rPr>
              <w:t xml:space="preserve"> zł; wartość </w:t>
            </w:r>
            <w:r w:rsidR="002B7F08" w:rsidRPr="00E749C4">
              <w:rPr>
                <w:rFonts w:ascii="Times New Roman" w:hAnsi="Times New Roman"/>
                <w:sz w:val="16"/>
                <w:szCs w:val="16"/>
              </w:rPr>
              <w:t xml:space="preserve">netto początek roku </w:t>
            </w:r>
            <w:r w:rsidR="009006FC">
              <w:rPr>
                <w:rFonts w:ascii="Times New Roman" w:hAnsi="Times New Roman"/>
                <w:sz w:val="16"/>
                <w:szCs w:val="16"/>
              </w:rPr>
              <w:t>4.687.331,45</w:t>
            </w:r>
            <w:r w:rsidR="000D3A08">
              <w:rPr>
                <w:rFonts w:ascii="Times New Roman" w:hAnsi="Times New Roman"/>
                <w:sz w:val="16"/>
                <w:szCs w:val="16"/>
              </w:rPr>
              <w:t xml:space="preserve"> </w:t>
            </w:r>
            <w:r w:rsidR="00B85A72">
              <w:rPr>
                <w:rFonts w:ascii="Times New Roman" w:hAnsi="Times New Roman"/>
                <w:sz w:val="16"/>
                <w:szCs w:val="16"/>
              </w:rPr>
              <w:t xml:space="preserve">zł; wartość netto koniec roku </w:t>
            </w:r>
            <w:r w:rsidR="00CE573E">
              <w:rPr>
                <w:rFonts w:ascii="Times New Roman" w:hAnsi="Times New Roman"/>
                <w:sz w:val="16"/>
                <w:szCs w:val="16"/>
              </w:rPr>
              <w:t xml:space="preserve"> </w:t>
            </w:r>
            <w:r w:rsidR="009006FC">
              <w:rPr>
                <w:rFonts w:ascii="Times New Roman" w:hAnsi="Times New Roman"/>
                <w:sz w:val="16"/>
                <w:szCs w:val="16"/>
              </w:rPr>
              <w:t>14.348.742,51</w:t>
            </w:r>
            <w:r w:rsidR="00D42C12" w:rsidRPr="00E749C4">
              <w:rPr>
                <w:rFonts w:ascii="Times New Roman" w:hAnsi="Times New Roman"/>
                <w:sz w:val="16"/>
                <w:szCs w:val="16"/>
              </w:rPr>
              <w:t xml:space="preserve"> 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Środki transportu: stan początkowy</w:t>
            </w:r>
            <w:r w:rsidR="00D42C12" w:rsidRPr="00E749C4">
              <w:rPr>
                <w:rFonts w:ascii="Times New Roman" w:hAnsi="Times New Roman"/>
                <w:sz w:val="16"/>
                <w:szCs w:val="16"/>
              </w:rPr>
              <w:t xml:space="preserve"> </w:t>
            </w:r>
            <w:r w:rsidR="00CE573E">
              <w:rPr>
                <w:rFonts w:ascii="Times New Roman" w:hAnsi="Times New Roman"/>
                <w:sz w:val="16"/>
                <w:szCs w:val="16"/>
              </w:rPr>
              <w:t xml:space="preserve"> </w:t>
            </w:r>
            <w:r w:rsidR="009006FC">
              <w:rPr>
                <w:rFonts w:ascii="Times New Roman" w:hAnsi="Times New Roman"/>
                <w:sz w:val="16"/>
                <w:szCs w:val="16"/>
              </w:rPr>
              <w:t>555.163,02</w:t>
            </w:r>
            <w:r w:rsidR="003479FE">
              <w:rPr>
                <w:rFonts w:ascii="Times New Roman" w:hAnsi="Times New Roman"/>
                <w:sz w:val="16"/>
                <w:szCs w:val="16"/>
              </w:rPr>
              <w:t xml:space="preserve"> </w:t>
            </w:r>
            <w:r w:rsidR="00D42C12" w:rsidRPr="00E749C4">
              <w:rPr>
                <w:rFonts w:ascii="Times New Roman" w:hAnsi="Times New Roman"/>
                <w:sz w:val="16"/>
                <w:szCs w:val="16"/>
              </w:rPr>
              <w:t xml:space="preserve">zł; amortyzacja za rok </w:t>
            </w:r>
            <w:r w:rsidR="009006FC">
              <w:rPr>
                <w:rFonts w:ascii="Times New Roman" w:hAnsi="Times New Roman"/>
                <w:sz w:val="16"/>
                <w:szCs w:val="16"/>
              </w:rPr>
              <w:t>6.938.668,23</w:t>
            </w:r>
            <w:r w:rsidR="000D3A08">
              <w:rPr>
                <w:rFonts w:ascii="Times New Roman" w:hAnsi="Times New Roman"/>
                <w:sz w:val="16"/>
                <w:szCs w:val="16"/>
              </w:rPr>
              <w:t xml:space="preserve"> zł</w:t>
            </w:r>
            <w:r w:rsidR="00B85A72">
              <w:rPr>
                <w:rFonts w:ascii="Times New Roman" w:hAnsi="Times New Roman"/>
                <w:sz w:val="16"/>
                <w:szCs w:val="16"/>
              </w:rPr>
              <w:t>;</w:t>
            </w:r>
            <w:r w:rsidR="00CE573E">
              <w:rPr>
                <w:rFonts w:ascii="Times New Roman" w:hAnsi="Times New Roman"/>
                <w:sz w:val="16"/>
                <w:szCs w:val="16"/>
              </w:rPr>
              <w:t xml:space="preserve"> zmniejszenie umorzenia </w:t>
            </w:r>
            <w:r w:rsidR="009006FC">
              <w:rPr>
                <w:rFonts w:ascii="Times New Roman" w:hAnsi="Times New Roman"/>
                <w:sz w:val="16"/>
                <w:szCs w:val="16"/>
              </w:rPr>
              <w:t>87.206,03</w:t>
            </w:r>
            <w:r w:rsidR="00CE573E">
              <w:rPr>
                <w:rFonts w:ascii="Times New Roman" w:hAnsi="Times New Roman"/>
                <w:sz w:val="16"/>
                <w:szCs w:val="16"/>
              </w:rPr>
              <w:t xml:space="preserve"> zł; </w:t>
            </w:r>
            <w:r w:rsidR="00B85A72" w:rsidRPr="00E749C4">
              <w:rPr>
                <w:rFonts w:ascii="Times New Roman" w:hAnsi="Times New Roman"/>
                <w:sz w:val="16"/>
                <w:szCs w:val="16"/>
              </w:rPr>
              <w:t xml:space="preserve">stan końcowy </w:t>
            </w:r>
            <w:r w:rsidR="00D05288">
              <w:rPr>
                <w:rFonts w:ascii="Times New Roman" w:hAnsi="Times New Roman"/>
                <w:sz w:val="16"/>
                <w:szCs w:val="16"/>
              </w:rPr>
              <w:t>7.406.625,22</w:t>
            </w:r>
            <w:r w:rsidR="00A1614D">
              <w:rPr>
                <w:rFonts w:ascii="Times New Roman" w:hAnsi="Times New Roman"/>
                <w:sz w:val="16"/>
                <w:szCs w:val="16"/>
              </w:rPr>
              <w:t xml:space="preserve"> </w:t>
            </w:r>
            <w:r w:rsidR="00D42C12" w:rsidRPr="00E749C4">
              <w:rPr>
                <w:rFonts w:ascii="Times New Roman" w:hAnsi="Times New Roman"/>
                <w:sz w:val="16"/>
                <w:szCs w:val="16"/>
              </w:rPr>
              <w:t xml:space="preserve">zł; wartość netto początek </w:t>
            </w:r>
            <w:r w:rsidR="00D05288">
              <w:rPr>
                <w:rFonts w:ascii="Times New Roman" w:hAnsi="Times New Roman"/>
                <w:sz w:val="16"/>
                <w:szCs w:val="16"/>
              </w:rPr>
              <w:t>32.513.516,10</w:t>
            </w:r>
            <w:r w:rsidR="00A1614D">
              <w:rPr>
                <w:rFonts w:ascii="Times New Roman" w:hAnsi="Times New Roman"/>
                <w:sz w:val="16"/>
                <w:szCs w:val="16"/>
              </w:rPr>
              <w:t xml:space="preserve"> </w:t>
            </w:r>
            <w:r w:rsidR="00B85A72">
              <w:rPr>
                <w:rFonts w:ascii="Times New Roman" w:hAnsi="Times New Roman"/>
                <w:sz w:val="16"/>
                <w:szCs w:val="16"/>
              </w:rPr>
              <w:t xml:space="preserve">zł; wartość netto koniec roku </w:t>
            </w:r>
            <w:r w:rsidR="000D3A08">
              <w:rPr>
                <w:rFonts w:ascii="Times New Roman" w:hAnsi="Times New Roman"/>
                <w:sz w:val="16"/>
                <w:szCs w:val="16"/>
              </w:rPr>
              <w:t xml:space="preserve"> </w:t>
            </w:r>
            <w:r w:rsidR="00D05288">
              <w:rPr>
                <w:rFonts w:ascii="Times New Roman" w:hAnsi="Times New Roman"/>
                <w:sz w:val="16"/>
                <w:szCs w:val="16"/>
              </w:rPr>
              <w:t>26.182.664,27</w:t>
            </w:r>
            <w:r w:rsidR="00A1614D">
              <w:rPr>
                <w:rFonts w:ascii="Times New Roman" w:hAnsi="Times New Roman"/>
                <w:sz w:val="16"/>
                <w:szCs w:val="16"/>
              </w:rPr>
              <w:t xml:space="preserve"> </w:t>
            </w:r>
            <w:r w:rsidR="00D42C12" w:rsidRPr="00E749C4">
              <w:rPr>
                <w:rFonts w:ascii="Times New Roman" w:hAnsi="Times New Roman"/>
                <w:sz w:val="16"/>
                <w:szCs w:val="16"/>
              </w:rPr>
              <w:t>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Narzędzia, przyrządy, ruchomości i wyposażenie, gdzie indziej niesklasyfikowane: stan początkowy</w:t>
            </w:r>
            <w:r w:rsidR="002B7F08" w:rsidRPr="00E749C4">
              <w:rPr>
                <w:rFonts w:ascii="Times New Roman" w:hAnsi="Times New Roman"/>
                <w:sz w:val="16"/>
                <w:szCs w:val="16"/>
              </w:rPr>
              <w:t xml:space="preserve"> </w:t>
            </w:r>
            <w:r w:rsidR="00D05288">
              <w:rPr>
                <w:rFonts w:ascii="Times New Roman" w:hAnsi="Times New Roman"/>
                <w:sz w:val="16"/>
                <w:szCs w:val="16"/>
              </w:rPr>
              <w:t>2.020.130,68</w:t>
            </w:r>
            <w:r w:rsidR="000D3A08">
              <w:rPr>
                <w:rFonts w:ascii="Times New Roman" w:hAnsi="Times New Roman"/>
                <w:sz w:val="16"/>
                <w:szCs w:val="16"/>
              </w:rPr>
              <w:t xml:space="preserve"> </w:t>
            </w:r>
            <w:r w:rsidR="00D42C12" w:rsidRPr="00E749C4">
              <w:rPr>
                <w:rFonts w:ascii="Times New Roman" w:hAnsi="Times New Roman"/>
                <w:sz w:val="16"/>
                <w:szCs w:val="16"/>
              </w:rPr>
              <w:t>z</w:t>
            </w:r>
            <w:r w:rsidR="002B7F08" w:rsidRPr="00E749C4">
              <w:rPr>
                <w:rFonts w:ascii="Times New Roman" w:hAnsi="Times New Roman"/>
                <w:sz w:val="16"/>
                <w:szCs w:val="16"/>
              </w:rPr>
              <w:t xml:space="preserve">ł; amortyzacja za rok </w:t>
            </w:r>
            <w:r w:rsidR="00D05288">
              <w:rPr>
                <w:rFonts w:ascii="Times New Roman" w:hAnsi="Times New Roman"/>
                <w:sz w:val="16"/>
                <w:szCs w:val="16"/>
              </w:rPr>
              <w:t>520.051,79</w:t>
            </w:r>
            <w:r w:rsidR="00D42C12" w:rsidRPr="00E749C4">
              <w:rPr>
                <w:rFonts w:ascii="Times New Roman" w:hAnsi="Times New Roman"/>
                <w:sz w:val="16"/>
                <w:szCs w:val="16"/>
              </w:rPr>
              <w:t xml:space="preserve"> zł; </w:t>
            </w:r>
            <w:r w:rsidR="00B85A72">
              <w:rPr>
                <w:rFonts w:ascii="Times New Roman" w:hAnsi="Times New Roman"/>
                <w:sz w:val="16"/>
                <w:szCs w:val="16"/>
              </w:rPr>
              <w:t xml:space="preserve">zmniejszenie umorzenia </w:t>
            </w:r>
            <w:r w:rsidR="00D05288">
              <w:rPr>
                <w:rFonts w:ascii="Times New Roman" w:hAnsi="Times New Roman"/>
                <w:sz w:val="16"/>
                <w:szCs w:val="16"/>
              </w:rPr>
              <w:t>61.172,18</w:t>
            </w:r>
            <w:r w:rsidR="00A1614D">
              <w:rPr>
                <w:rFonts w:ascii="Times New Roman" w:hAnsi="Times New Roman"/>
                <w:sz w:val="16"/>
                <w:szCs w:val="16"/>
              </w:rPr>
              <w:t xml:space="preserve"> </w:t>
            </w:r>
            <w:r w:rsidR="000D3A08">
              <w:rPr>
                <w:rFonts w:ascii="Times New Roman" w:hAnsi="Times New Roman"/>
                <w:sz w:val="16"/>
                <w:szCs w:val="16"/>
              </w:rPr>
              <w:t>zł</w:t>
            </w:r>
            <w:r w:rsidR="00B85A72">
              <w:rPr>
                <w:rFonts w:ascii="Times New Roman" w:hAnsi="Times New Roman"/>
                <w:sz w:val="16"/>
                <w:szCs w:val="16"/>
              </w:rPr>
              <w:t xml:space="preserve">; </w:t>
            </w:r>
            <w:r w:rsidR="00D42C12" w:rsidRPr="00E749C4">
              <w:rPr>
                <w:rFonts w:ascii="Times New Roman" w:hAnsi="Times New Roman"/>
                <w:sz w:val="16"/>
                <w:szCs w:val="16"/>
              </w:rPr>
              <w:t xml:space="preserve">stan końcowy </w:t>
            </w:r>
            <w:r w:rsidR="00D05288">
              <w:rPr>
                <w:rFonts w:ascii="Times New Roman" w:hAnsi="Times New Roman"/>
                <w:sz w:val="16"/>
                <w:szCs w:val="16"/>
              </w:rPr>
              <w:t>2.479.010,29</w:t>
            </w:r>
            <w:r w:rsidR="00D42C12" w:rsidRPr="00E749C4">
              <w:rPr>
                <w:rFonts w:ascii="Times New Roman" w:hAnsi="Times New Roman"/>
                <w:sz w:val="16"/>
                <w:szCs w:val="16"/>
              </w:rPr>
              <w:t xml:space="preserve"> zł; wartość nett</w:t>
            </w:r>
            <w:r w:rsidR="002B7F08" w:rsidRPr="00E749C4">
              <w:rPr>
                <w:rFonts w:ascii="Times New Roman" w:hAnsi="Times New Roman"/>
                <w:sz w:val="16"/>
                <w:szCs w:val="16"/>
              </w:rPr>
              <w:t>o początek roku</w:t>
            </w:r>
            <w:r w:rsidR="00B85A72">
              <w:rPr>
                <w:rFonts w:ascii="Times New Roman" w:hAnsi="Times New Roman"/>
                <w:sz w:val="16"/>
                <w:szCs w:val="16"/>
              </w:rPr>
              <w:t xml:space="preserve"> </w:t>
            </w:r>
            <w:r w:rsidR="000D3A08">
              <w:rPr>
                <w:rFonts w:ascii="Times New Roman" w:hAnsi="Times New Roman"/>
                <w:sz w:val="16"/>
                <w:szCs w:val="16"/>
              </w:rPr>
              <w:t xml:space="preserve"> </w:t>
            </w:r>
            <w:r w:rsidR="00D05288">
              <w:rPr>
                <w:rFonts w:ascii="Times New Roman" w:hAnsi="Times New Roman"/>
                <w:sz w:val="16"/>
                <w:szCs w:val="16"/>
              </w:rPr>
              <w:t>1.962.362,39</w:t>
            </w:r>
            <w:r w:rsidR="00A1614D">
              <w:rPr>
                <w:rFonts w:ascii="Times New Roman" w:hAnsi="Times New Roman"/>
                <w:sz w:val="16"/>
                <w:szCs w:val="16"/>
              </w:rPr>
              <w:t xml:space="preserve"> </w:t>
            </w:r>
            <w:r w:rsidR="00D42C12" w:rsidRPr="00E749C4">
              <w:rPr>
                <w:rFonts w:ascii="Times New Roman" w:hAnsi="Times New Roman"/>
                <w:sz w:val="16"/>
                <w:szCs w:val="16"/>
              </w:rPr>
              <w:t xml:space="preserve">zł; wartość netto koniec roku </w:t>
            </w:r>
            <w:r w:rsidR="00D05288">
              <w:rPr>
                <w:rFonts w:ascii="Times New Roman" w:hAnsi="Times New Roman"/>
                <w:sz w:val="16"/>
                <w:szCs w:val="16"/>
              </w:rPr>
              <w:t>2.426.162,52</w:t>
            </w:r>
            <w:r w:rsidR="00A1614D">
              <w:rPr>
                <w:rFonts w:ascii="Times New Roman" w:hAnsi="Times New Roman"/>
                <w:sz w:val="16"/>
                <w:szCs w:val="16"/>
              </w:rPr>
              <w:t xml:space="preserve"> </w:t>
            </w:r>
            <w:r w:rsidR="00D42C12" w:rsidRPr="00E749C4">
              <w:rPr>
                <w:rFonts w:ascii="Times New Roman" w:hAnsi="Times New Roman"/>
                <w:sz w:val="16"/>
                <w:szCs w:val="16"/>
              </w:rPr>
              <w:t>zł,</w:t>
            </w:r>
          </w:p>
          <w:p w:rsidR="009E77DC" w:rsidRPr="00E749C4" w:rsidRDefault="009E77DC" w:rsidP="006A2EA4">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Pozostałe środki trwałe: stan początkowy</w:t>
            </w:r>
            <w:r w:rsidR="00D42C12" w:rsidRPr="00E749C4">
              <w:rPr>
                <w:rFonts w:ascii="Times New Roman" w:hAnsi="Times New Roman"/>
                <w:sz w:val="16"/>
                <w:szCs w:val="16"/>
              </w:rPr>
              <w:t xml:space="preserve"> </w:t>
            </w:r>
            <w:r w:rsidR="00D05288">
              <w:rPr>
                <w:rFonts w:ascii="Times New Roman" w:hAnsi="Times New Roman"/>
                <w:sz w:val="16"/>
                <w:szCs w:val="16"/>
              </w:rPr>
              <w:t>6.967.996,55</w:t>
            </w:r>
            <w:r w:rsidR="000D3A08">
              <w:rPr>
                <w:rFonts w:ascii="Times New Roman" w:hAnsi="Times New Roman"/>
                <w:sz w:val="16"/>
                <w:szCs w:val="16"/>
              </w:rPr>
              <w:t xml:space="preserve"> </w:t>
            </w:r>
            <w:r w:rsidR="00D42C12" w:rsidRPr="00E749C4">
              <w:rPr>
                <w:rFonts w:ascii="Times New Roman" w:hAnsi="Times New Roman"/>
                <w:sz w:val="16"/>
                <w:szCs w:val="16"/>
              </w:rPr>
              <w:t xml:space="preserve">zł; inne zwiększenia </w:t>
            </w:r>
            <w:r w:rsidR="00D05288">
              <w:rPr>
                <w:rFonts w:ascii="Times New Roman" w:hAnsi="Times New Roman"/>
                <w:sz w:val="16"/>
                <w:szCs w:val="16"/>
              </w:rPr>
              <w:t>1.489.018,37</w:t>
            </w:r>
            <w:r w:rsidR="00D42C12" w:rsidRPr="00E749C4">
              <w:rPr>
                <w:rFonts w:ascii="Times New Roman" w:hAnsi="Times New Roman"/>
                <w:sz w:val="16"/>
                <w:szCs w:val="16"/>
              </w:rPr>
              <w:t xml:space="preserve"> zł; zmniejszenie umorzenia </w:t>
            </w:r>
            <w:r w:rsidR="00D05288">
              <w:rPr>
                <w:rFonts w:ascii="Times New Roman" w:hAnsi="Times New Roman"/>
                <w:sz w:val="16"/>
                <w:szCs w:val="16"/>
              </w:rPr>
              <w:t>94</w:t>
            </w:r>
            <w:r w:rsidR="003479FE">
              <w:rPr>
                <w:rFonts w:ascii="Times New Roman" w:hAnsi="Times New Roman"/>
                <w:sz w:val="16"/>
                <w:szCs w:val="16"/>
              </w:rPr>
              <w:t>.</w:t>
            </w:r>
            <w:r w:rsidR="00D05288">
              <w:rPr>
                <w:rFonts w:ascii="Times New Roman" w:hAnsi="Times New Roman"/>
                <w:sz w:val="16"/>
                <w:szCs w:val="16"/>
              </w:rPr>
              <w:t>993,28</w:t>
            </w:r>
            <w:r w:rsidR="000D3A08">
              <w:rPr>
                <w:rFonts w:ascii="Times New Roman" w:hAnsi="Times New Roman"/>
                <w:sz w:val="16"/>
                <w:szCs w:val="16"/>
              </w:rPr>
              <w:t xml:space="preserve"> </w:t>
            </w:r>
            <w:r w:rsidR="00D42C12" w:rsidRPr="00E749C4">
              <w:rPr>
                <w:rFonts w:ascii="Times New Roman" w:hAnsi="Times New Roman"/>
                <w:sz w:val="16"/>
                <w:szCs w:val="16"/>
              </w:rPr>
              <w:t xml:space="preserve"> zł; stan końcowy </w:t>
            </w:r>
            <w:r w:rsidR="00BE2F30">
              <w:rPr>
                <w:rFonts w:ascii="Times New Roman" w:hAnsi="Times New Roman"/>
                <w:sz w:val="16"/>
                <w:szCs w:val="16"/>
              </w:rPr>
              <w:t xml:space="preserve"> </w:t>
            </w:r>
            <w:r w:rsidR="00D05288">
              <w:rPr>
                <w:rFonts w:ascii="Times New Roman" w:hAnsi="Times New Roman"/>
                <w:sz w:val="16"/>
                <w:szCs w:val="16"/>
              </w:rPr>
              <w:t>8.362.021,64</w:t>
            </w:r>
            <w:r w:rsidR="00D42C12" w:rsidRPr="00E749C4">
              <w:rPr>
                <w:rFonts w:ascii="Times New Roman" w:hAnsi="Times New Roman"/>
                <w:sz w:val="16"/>
                <w:szCs w:val="16"/>
              </w:rPr>
              <w:t xml:space="preserve"> zł,</w:t>
            </w:r>
          </w:p>
          <w:p w:rsidR="006A2EA4" w:rsidRPr="00E749C4" w:rsidRDefault="009E77DC" w:rsidP="000E07DF">
            <w:pPr>
              <w:pStyle w:val="Akapitzlist"/>
              <w:numPr>
                <w:ilvl w:val="0"/>
                <w:numId w:val="5"/>
              </w:numPr>
              <w:spacing w:after="0" w:line="240" w:lineRule="auto"/>
              <w:ind w:right="28"/>
              <w:rPr>
                <w:rFonts w:ascii="Times New Roman" w:hAnsi="Times New Roman"/>
                <w:sz w:val="16"/>
                <w:szCs w:val="16"/>
              </w:rPr>
            </w:pPr>
            <w:r w:rsidRPr="00E749C4">
              <w:rPr>
                <w:rFonts w:ascii="Times New Roman" w:hAnsi="Times New Roman"/>
                <w:sz w:val="16"/>
                <w:szCs w:val="16"/>
              </w:rPr>
              <w:t>Zbiory biblioteczne: stan pocz</w:t>
            </w:r>
            <w:r w:rsidR="000E07DF" w:rsidRPr="00E749C4">
              <w:rPr>
                <w:rFonts w:ascii="Times New Roman" w:hAnsi="Times New Roman"/>
                <w:sz w:val="16"/>
                <w:szCs w:val="16"/>
              </w:rPr>
              <w:t>ą</w:t>
            </w:r>
            <w:r w:rsidRPr="00E749C4">
              <w:rPr>
                <w:rFonts w:ascii="Times New Roman" w:hAnsi="Times New Roman"/>
                <w:sz w:val="16"/>
                <w:szCs w:val="16"/>
              </w:rPr>
              <w:t>tkowy</w:t>
            </w:r>
            <w:r w:rsidR="006A2EA4" w:rsidRPr="00E749C4">
              <w:rPr>
                <w:rFonts w:ascii="Times New Roman" w:hAnsi="Times New Roman"/>
                <w:sz w:val="16"/>
                <w:szCs w:val="16"/>
              </w:rPr>
              <w:t xml:space="preserve"> </w:t>
            </w:r>
            <w:r w:rsidR="00D42C12" w:rsidRPr="00E749C4">
              <w:rPr>
                <w:rFonts w:ascii="Times New Roman" w:hAnsi="Times New Roman"/>
                <w:sz w:val="16"/>
                <w:szCs w:val="16"/>
              </w:rPr>
              <w:t>38.091,67 zł; stan końcowy 38.091,67 zł.</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28" w:right="28" w:firstLine="93"/>
            </w:pPr>
            <w:r w:rsidRPr="00D46B97">
              <w:rPr>
                <w:rStyle w:val="Teksttreci29"/>
                <w:color w:val="000000"/>
              </w:rPr>
              <w:t>aktualną wartość rynkową środków trwałych, w tym dóbr kultury – o ile jednostka dysponuje takimi informacjami</w:t>
            </w:r>
          </w:p>
        </w:tc>
      </w:tr>
      <w:tr w:rsidR="00292FE3" w:rsidRPr="00D46B97" w:rsidTr="00B369C0">
        <w:trPr>
          <w:trHeight w:val="38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5201FE" w:rsidRDefault="005201FE" w:rsidP="00812905">
            <w:pPr>
              <w:spacing w:after="0" w:line="240" w:lineRule="auto"/>
              <w:ind w:left="28" w:right="28" w:firstLine="93"/>
              <w:rPr>
                <w:rFonts w:ascii="Times New Roman" w:hAnsi="Times New Roman"/>
                <w:sz w:val="19"/>
                <w:szCs w:val="19"/>
              </w:rPr>
            </w:pPr>
            <w:r>
              <w:rPr>
                <w:rFonts w:ascii="Times New Roman" w:hAnsi="Times New Roman"/>
                <w:sz w:val="19"/>
                <w:szCs w:val="19"/>
              </w:rPr>
              <w:t>Brak danych</w:t>
            </w:r>
          </w:p>
        </w:tc>
      </w:tr>
      <w:tr w:rsidR="00292FE3" w:rsidRPr="00D46B97" w:rsidTr="0021077F">
        <w:trPr>
          <w:trHeight w:val="58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1.3.</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812905">
            <w:pPr>
              <w:pStyle w:val="Teksttreci20"/>
              <w:shd w:val="clear" w:color="auto" w:fill="auto"/>
              <w:ind w:left="121" w:right="28"/>
              <w:jc w:val="both"/>
            </w:pPr>
            <w:r w:rsidRPr="00D46B97">
              <w:rPr>
                <w:rStyle w:val="Teksttreci29"/>
                <w:color w:val="000000"/>
              </w:rPr>
              <w:t>kwotę dokonanych w trakcie roku obrotowego odpisów aktualizujących wartość aktywów trwałych odrębnie dla</w:t>
            </w:r>
            <w:r w:rsidR="00812905" w:rsidRPr="00D46B97">
              <w:rPr>
                <w:rStyle w:val="Teksttreci29"/>
                <w:color w:val="000000"/>
              </w:rPr>
              <w:br/>
            </w:r>
            <w:r w:rsidRPr="00D46B97">
              <w:rPr>
                <w:rStyle w:val="Teksttreci29"/>
                <w:color w:val="000000"/>
              </w:rPr>
              <w:t>długoterminowych aktywów niefinansowych oraz długoterminowych aktywów finansowych</w:t>
            </w:r>
          </w:p>
        </w:tc>
      </w:tr>
      <w:tr w:rsidR="00292FE3" w:rsidRPr="00D46B97" w:rsidTr="00B369C0">
        <w:trPr>
          <w:trHeight w:val="35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A621C" w:rsidRDefault="00B16B3C" w:rsidP="00812905">
            <w:pPr>
              <w:spacing w:after="0" w:line="240" w:lineRule="auto"/>
              <w:ind w:left="28" w:right="28" w:firstLine="93"/>
              <w:rPr>
                <w:rFonts w:ascii="Times New Roman" w:hAnsi="Times New Roman"/>
                <w:sz w:val="19"/>
                <w:szCs w:val="19"/>
              </w:rPr>
            </w:pPr>
            <w:r>
              <w:rPr>
                <w:rFonts w:ascii="Times New Roman" w:hAnsi="Times New Roman"/>
                <w:sz w:val="19"/>
                <w:szCs w:val="19"/>
              </w:rPr>
              <w:t>Brak danych</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E749C4" w:rsidRDefault="00292FE3" w:rsidP="00AE7A2A">
            <w:pPr>
              <w:pStyle w:val="Teksttreci20"/>
              <w:shd w:val="clear" w:color="auto" w:fill="auto"/>
              <w:ind w:left="84" w:right="28"/>
            </w:pPr>
            <w:r w:rsidRPr="00E749C4">
              <w:rPr>
                <w:rStyle w:val="Teksttreci29"/>
                <w:color w:val="000000"/>
              </w:rPr>
              <w:t>1.4.</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E749C4" w:rsidRDefault="00292FE3" w:rsidP="00812905">
            <w:pPr>
              <w:pStyle w:val="Teksttreci20"/>
              <w:shd w:val="clear" w:color="auto" w:fill="auto"/>
              <w:ind w:left="28" w:right="28" w:firstLine="93"/>
            </w:pPr>
            <w:r w:rsidRPr="00E749C4">
              <w:rPr>
                <w:rStyle w:val="Teksttreci29"/>
                <w:color w:val="000000"/>
              </w:rPr>
              <w:t>wartość gruntów użytkowanych wieczyście</w:t>
            </w:r>
          </w:p>
        </w:tc>
      </w:tr>
      <w:tr w:rsidR="00292FE3" w:rsidRPr="00D46B97" w:rsidTr="00B369C0">
        <w:trPr>
          <w:trHeight w:val="330"/>
        </w:trPr>
        <w:tc>
          <w:tcPr>
            <w:tcW w:w="691" w:type="dxa"/>
            <w:tcBorders>
              <w:top w:val="single" w:sz="4" w:space="0" w:color="auto"/>
              <w:left w:val="single" w:sz="4" w:space="0" w:color="auto"/>
              <w:bottom w:val="nil"/>
              <w:right w:val="nil"/>
            </w:tcBorders>
            <w:shd w:val="clear" w:color="auto" w:fill="FFFFFF"/>
            <w:vAlign w:val="center"/>
          </w:tcPr>
          <w:p w:rsidR="00292FE3" w:rsidRPr="00E749C4"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E749C4" w:rsidRDefault="00FE47FB" w:rsidP="007E20D3">
            <w:pPr>
              <w:spacing w:after="0" w:line="240" w:lineRule="auto"/>
              <w:ind w:left="28" w:right="28" w:firstLine="93"/>
              <w:rPr>
                <w:rFonts w:ascii="Times New Roman" w:hAnsi="Times New Roman"/>
                <w:sz w:val="19"/>
                <w:szCs w:val="19"/>
              </w:rPr>
            </w:pPr>
            <w:r w:rsidRPr="00E749C4">
              <w:rPr>
                <w:rFonts w:ascii="Times New Roman" w:hAnsi="Times New Roman"/>
                <w:sz w:val="19"/>
                <w:szCs w:val="19"/>
              </w:rPr>
              <w:t xml:space="preserve">  </w:t>
            </w:r>
            <w:r w:rsidR="007E20D3">
              <w:rPr>
                <w:rFonts w:ascii="Times New Roman" w:hAnsi="Times New Roman"/>
                <w:sz w:val="19"/>
                <w:szCs w:val="19"/>
              </w:rPr>
              <w:t xml:space="preserve">1.203.404,91 </w:t>
            </w:r>
            <w:r w:rsidRPr="003A5976">
              <w:rPr>
                <w:rFonts w:ascii="Times New Roman" w:hAnsi="Times New Roman"/>
                <w:sz w:val="19"/>
                <w:szCs w:val="19"/>
              </w:rPr>
              <w:t xml:space="preserve"> zł</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1.5.</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wartość nieamortyzowanych lub nieumarzanych przez jednostkę środków trwałych, używanych na podstawie</w:t>
            </w:r>
            <w:r w:rsidR="00EB077D" w:rsidRPr="00D46B97">
              <w:rPr>
                <w:rStyle w:val="Teksttreci29"/>
                <w:color w:val="000000"/>
              </w:rPr>
              <w:br/>
            </w:r>
            <w:r w:rsidRPr="00D46B97">
              <w:rPr>
                <w:rStyle w:val="Teksttreci29"/>
                <w:color w:val="000000"/>
              </w:rPr>
              <w:t>umów najmu, dzierżawy i innych umów, w tym z tytułu umów leasingu</w:t>
            </w:r>
          </w:p>
        </w:tc>
      </w:tr>
      <w:tr w:rsidR="00292FE3" w:rsidRPr="00D46B97" w:rsidTr="0021077F">
        <w:trPr>
          <w:trHeight w:val="16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A621C" w:rsidRDefault="009E3B18" w:rsidP="00812905">
            <w:pPr>
              <w:spacing w:after="0" w:line="240" w:lineRule="auto"/>
              <w:ind w:left="28" w:right="28" w:firstLine="93"/>
              <w:rPr>
                <w:rFonts w:ascii="Times New Roman" w:hAnsi="Times New Roman"/>
                <w:sz w:val="19"/>
                <w:szCs w:val="19"/>
              </w:rPr>
            </w:pPr>
            <w:r>
              <w:rPr>
                <w:rFonts w:ascii="Times New Roman" w:hAnsi="Times New Roman"/>
                <w:sz w:val="19"/>
                <w:szCs w:val="19"/>
              </w:rPr>
              <w:t>Brak danych</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E749C4" w:rsidRDefault="00292FE3" w:rsidP="00AE7A2A">
            <w:pPr>
              <w:pStyle w:val="Teksttreci20"/>
              <w:shd w:val="clear" w:color="auto" w:fill="auto"/>
              <w:ind w:left="84" w:right="28"/>
            </w:pPr>
            <w:r w:rsidRPr="00E749C4">
              <w:rPr>
                <w:rStyle w:val="Teksttreci29"/>
              </w:rPr>
              <w:lastRenderedPageBreak/>
              <w:t>1.6.</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E749C4" w:rsidRDefault="00292FE3" w:rsidP="00EB077D">
            <w:pPr>
              <w:pStyle w:val="Teksttreci20"/>
              <w:shd w:val="clear" w:color="auto" w:fill="auto"/>
              <w:ind w:left="107" w:right="28" w:firstLine="14"/>
              <w:jc w:val="both"/>
            </w:pPr>
            <w:r w:rsidRPr="00E749C4">
              <w:rPr>
                <w:rStyle w:val="Teksttreci29"/>
              </w:rPr>
              <w:t>liczbę oraz wartość posiadanych papierów wartościowych, w tym akcji i udziałów oraz dłużnych papierów</w:t>
            </w:r>
            <w:r w:rsidR="00EB077D" w:rsidRPr="00E749C4">
              <w:rPr>
                <w:rStyle w:val="Teksttreci29"/>
              </w:rPr>
              <w:br/>
            </w:r>
            <w:r w:rsidRPr="00E749C4">
              <w:rPr>
                <w:rStyle w:val="Teksttreci29"/>
              </w:rPr>
              <w:t>wartościowych</w:t>
            </w:r>
          </w:p>
        </w:tc>
      </w:tr>
      <w:tr w:rsidR="00292FE3" w:rsidRPr="00D46B97" w:rsidTr="008E4C0D">
        <w:trPr>
          <w:trHeight w:val="393"/>
        </w:trPr>
        <w:tc>
          <w:tcPr>
            <w:tcW w:w="691" w:type="dxa"/>
            <w:tcBorders>
              <w:top w:val="single" w:sz="4" w:space="0" w:color="auto"/>
              <w:left w:val="single" w:sz="4" w:space="0" w:color="auto"/>
              <w:bottom w:val="single" w:sz="4" w:space="0" w:color="auto"/>
              <w:right w:val="nil"/>
            </w:tcBorders>
            <w:shd w:val="clear" w:color="auto" w:fill="FFFFFF"/>
          </w:tcPr>
          <w:p w:rsidR="00292FE3" w:rsidRPr="00E749C4" w:rsidRDefault="00292FE3" w:rsidP="008E4C0D">
            <w:pPr>
              <w:spacing w:after="0" w:line="240" w:lineRule="auto"/>
              <w:ind w:left="28" w:right="28"/>
              <w:jc w:val="center"/>
              <w:rPr>
                <w:sz w:val="10"/>
                <w:szCs w:val="10"/>
              </w:rPr>
            </w:pPr>
          </w:p>
        </w:tc>
        <w:tc>
          <w:tcPr>
            <w:tcW w:w="9178" w:type="dxa"/>
            <w:gridSpan w:val="3"/>
            <w:tcBorders>
              <w:top w:val="single" w:sz="4" w:space="0" w:color="auto"/>
              <w:left w:val="single" w:sz="4" w:space="0" w:color="auto"/>
              <w:bottom w:val="single" w:sz="4" w:space="0" w:color="auto"/>
              <w:right w:val="single" w:sz="4" w:space="0" w:color="auto"/>
            </w:tcBorders>
            <w:shd w:val="clear" w:color="auto" w:fill="FFFFFF"/>
          </w:tcPr>
          <w:p w:rsidR="008E4C0D" w:rsidRDefault="008E4C0D" w:rsidP="008E4C0D">
            <w:pPr>
              <w:spacing w:after="0" w:line="240" w:lineRule="auto"/>
              <w:ind w:left="28" w:right="28"/>
              <w:jc w:val="center"/>
              <w:rPr>
                <w:rFonts w:ascii="Times New Roman" w:hAnsi="Times New Roman"/>
                <w:sz w:val="16"/>
                <w:szCs w:val="16"/>
              </w:rPr>
            </w:pPr>
          </w:p>
          <w:p w:rsidR="00292FE3" w:rsidRPr="00E749C4" w:rsidRDefault="00F51E09" w:rsidP="00F51E09">
            <w:pPr>
              <w:spacing w:after="0" w:line="240" w:lineRule="auto"/>
              <w:ind w:left="28" w:right="28"/>
              <w:jc w:val="center"/>
              <w:rPr>
                <w:rFonts w:ascii="Times New Roman" w:hAnsi="Times New Roman"/>
                <w:sz w:val="16"/>
                <w:szCs w:val="16"/>
              </w:rPr>
            </w:pPr>
            <w:r>
              <w:rPr>
                <w:rFonts w:ascii="Times New Roman" w:hAnsi="Times New Roman"/>
                <w:sz w:val="16"/>
                <w:szCs w:val="16"/>
              </w:rPr>
              <w:t>89.</w:t>
            </w:r>
            <w:r w:rsidR="006C05D8">
              <w:rPr>
                <w:rFonts w:ascii="Times New Roman" w:hAnsi="Times New Roman"/>
                <w:sz w:val="16"/>
                <w:szCs w:val="16"/>
              </w:rPr>
              <w:t>696.620,00</w:t>
            </w:r>
            <w:r w:rsidR="00FE47FB" w:rsidRPr="003A5976">
              <w:rPr>
                <w:rFonts w:ascii="Times New Roman" w:hAnsi="Times New Roman"/>
                <w:sz w:val="16"/>
                <w:szCs w:val="16"/>
              </w:rPr>
              <w:t xml:space="preserve"> zł</w:t>
            </w:r>
            <w:r w:rsidR="00B16B3C" w:rsidRPr="003A5976">
              <w:rPr>
                <w:rFonts w:ascii="Times New Roman" w:hAnsi="Times New Roman"/>
                <w:sz w:val="16"/>
                <w:szCs w:val="16"/>
              </w:rPr>
              <w:t>,</w:t>
            </w:r>
            <w:r w:rsidR="00957895" w:rsidRPr="003A5976">
              <w:rPr>
                <w:rFonts w:ascii="Times New Roman" w:hAnsi="Times New Roman"/>
                <w:sz w:val="16"/>
                <w:szCs w:val="16"/>
              </w:rPr>
              <w:t xml:space="preserve"> </w:t>
            </w:r>
            <w:r w:rsidR="00B16B3C" w:rsidRPr="003A5976">
              <w:rPr>
                <w:rFonts w:ascii="Times New Roman" w:hAnsi="Times New Roman"/>
                <w:sz w:val="16"/>
                <w:szCs w:val="16"/>
              </w:rPr>
              <w:t xml:space="preserve"> </w:t>
            </w:r>
            <w:r w:rsidR="00957895" w:rsidRPr="003A5976">
              <w:rPr>
                <w:rFonts w:ascii="Times New Roman" w:hAnsi="Times New Roman"/>
                <w:sz w:val="16"/>
                <w:szCs w:val="16"/>
              </w:rPr>
              <w:t xml:space="preserve">w tym liczba akcji </w:t>
            </w:r>
            <w:r w:rsidR="00164504" w:rsidRPr="003A5976">
              <w:rPr>
                <w:rFonts w:ascii="Times New Roman" w:hAnsi="Times New Roman"/>
                <w:sz w:val="16"/>
                <w:szCs w:val="16"/>
              </w:rPr>
              <w:t>1.260</w:t>
            </w:r>
            <w:r w:rsidR="00957895" w:rsidRPr="003A5976">
              <w:rPr>
                <w:rFonts w:ascii="Times New Roman" w:hAnsi="Times New Roman"/>
                <w:sz w:val="16"/>
                <w:szCs w:val="16"/>
              </w:rPr>
              <w:t xml:space="preserve"> i ich wartość </w:t>
            </w:r>
            <w:r w:rsidR="00164504" w:rsidRPr="003A5976">
              <w:rPr>
                <w:rFonts w:ascii="Times New Roman" w:hAnsi="Times New Roman"/>
                <w:sz w:val="16"/>
                <w:szCs w:val="16"/>
              </w:rPr>
              <w:t>2.520,00</w:t>
            </w:r>
            <w:r w:rsidR="00957895" w:rsidRPr="003A5976">
              <w:rPr>
                <w:rFonts w:ascii="Times New Roman" w:hAnsi="Times New Roman"/>
                <w:sz w:val="16"/>
                <w:szCs w:val="16"/>
              </w:rPr>
              <w:t xml:space="preserve"> zł ; liczba udziałów </w:t>
            </w:r>
            <w:r>
              <w:rPr>
                <w:rFonts w:ascii="Times New Roman" w:hAnsi="Times New Roman"/>
                <w:sz w:val="16"/>
                <w:szCs w:val="16"/>
              </w:rPr>
              <w:t>263.</w:t>
            </w:r>
            <w:r w:rsidR="006C05D8">
              <w:rPr>
                <w:rFonts w:ascii="Times New Roman" w:hAnsi="Times New Roman"/>
                <w:sz w:val="16"/>
                <w:szCs w:val="16"/>
              </w:rPr>
              <w:t>348</w:t>
            </w:r>
            <w:r w:rsidR="00957895" w:rsidRPr="003A5976">
              <w:rPr>
                <w:rFonts w:ascii="Times New Roman" w:hAnsi="Times New Roman"/>
                <w:sz w:val="16"/>
                <w:szCs w:val="16"/>
              </w:rPr>
              <w:t xml:space="preserve"> i ich wartość </w:t>
            </w:r>
            <w:r>
              <w:rPr>
                <w:rFonts w:ascii="Times New Roman" w:hAnsi="Times New Roman"/>
                <w:sz w:val="16"/>
                <w:szCs w:val="16"/>
              </w:rPr>
              <w:t>89.69</w:t>
            </w:r>
            <w:r w:rsidR="006C05D8">
              <w:rPr>
                <w:rFonts w:ascii="Times New Roman" w:hAnsi="Times New Roman"/>
                <w:sz w:val="16"/>
                <w:szCs w:val="16"/>
              </w:rPr>
              <w:t>4</w:t>
            </w:r>
            <w:r>
              <w:rPr>
                <w:rFonts w:ascii="Times New Roman" w:hAnsi="Times New Roman"/>
                <w:sz w:val="16"/>
                <w:szCs w:val="16"/>
              </w:rPr>
              <w:t>.</w:t>
            </w:r>
            <w:r w:rsidR="006C05D8">
              <w:rPr>
                <w:rFonts w:ascii="Times New Roman" w:hAnsi="Times New Roman"/>
                <w:sz w:val="16"/>
                <w:szCs w:val="16"/>
              </w:rPr>
              <w:t>1</w:t>
            </w:r>
            <w:r>
              <w:rPr>
                <w:rFonts w:ascii="Times New Roman" w:hAnsi="Times New Roman"/>
                <w:sz w:val="16"/>
                <w:szCs w:val="16"/>
              </w:rPr>
              <w:t>00</w:t>
            </w:r>
            <w:r w:rsidR="00164504" w:rsidRPr="003A5976">
              <w:rPr>
                <w:rFonts w:ascii="Times New Roman" w:hAnsi="Times New Roman"/>
                <w:sz w:val="16"/>
                <w:szCs w:val="16"/>
              </w:rPr>
              <w:t>,00</w:t>
            </w:r>
            <w:r w:rsidR="00957895" w:rsidRPr="003A5976">
              <w:rPr>
                <w:rFonts w:ascii="Times New Roman" w:hAnsi="Times New Roman"/>
                <w:sz w:val="16"/>
                <w:szCs w:val="16"/>
              </w:rPr>
              <w:t xml:space="preserve"> zł.</w:t>
            </w:r>
          </w:p>
        </w:tc>
      </w:tr>
      <w:tr w:rsidR="00292FE3" w:rsidRPr="00D46B97" w:rsidTr="0021077F">
        <w:trPr>
          <w:trHeight w:val="83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812905" w:rsidP="00AE7A2A">
            <w:pPr>
              <w:pStyle w:val="Teksttreci20"/>
              <w:shd w:val="clear" w:color="auto" w:fill="auto"/>
              <w:ind w:left="84" w:right="28"/>
            </w:pPr>
            <w:r w:rsidRPr="00D46B97">
              <w:br w:type="page"/>
            </w:r>
            <w:r w:rsidR="00292FE3" w:rsidRPr="00D46B97">
              <w:rPr>
                <w:rStyle w:val="Teksttreci29"/>
                <w:color w:val="000000"/>
              </w:rPr>
              <w:t>1.7.</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dane o odpisach aktualizujących wartość należności, ze wskazaniem stanu na początek roku obrotowego,</w:t>
            </w:r>
            <w:r w:rsidR="00EB077D" w:rsidRPr="00D46B97">
              <w:rPr>
                <w:rStyle w:val="Teksttreci29"/>
                <w:color w:val="000000"/>
              </w:rPr>
              <w:br/>
            </w:r>
            <w:r w:rsidRPr="00D46B97">
              <w:rPr>
                <w:rStyle w:val="Teksttreci29"/>
                <w:color w:val="000000"/>
              </w:rPr>
              <w:t>zwiększeniach, wykorzystaniu, rozwiązaniu i stanie na koniec roku obrotowego, z uwzględnieniem należności</w:t>
            </w:r>
            <w:r w:rsidR="00EB077D" w:rsidRPr="00D46B97">
              <w:rPr>
                <w:rStyle w:val="Teksttreci29"/>
                <w:color w:val="000000"/>
              </w:rPr>
              <w:br/>
            </w:r>
            <w:r w:rsidRPr="00D46B97">
              <w:rPr>
                <w:rStyle w:val="Teksttreci29"/>
                <w:color w:val="000000"/>
              </w:rPr>
              <w:t>finansowych jednostek samorządu terytorialnego (stan pożyczek zagrożonych)</w:t>
            </w:r>
          </w:p>
        </w:tc>
      </w:tr>
      <w:tr w:rsidR="00292FE3" w:rsidRPr="00D46B97" w:rsidTr="0021077F">
        <w:trPr>
          <w:trHeight w:val="56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26EFF" w:rsidRDefault="00026EFF" w:rsidP="006F601A">
            <w:pPr>
              <w:spacing w:after="0" w:line="240" w:lineRule="auto"/>
              <w:ind w:left="28" w:right="28"/>
              <w:rPr>
                <w:rFonts w:ascii="Times New Roman" w:hAnsi="Times New Roman"/>
                <w:sz w:val="19"/>
                <w:szCs w:val="19"/>
              </w:rPr>
            </w:pPr>
            <w:r w:rsidRPr="003A5976">
              <w:rPr>
                <w:rFonts w:ascii="Times New Roman" w:hAnsi="Times New Roman"/>
                <w:sz w:val="19"/>
                <w:szCs w:val="19"/>
              </w:rPr>
              <w:t>Stan odpisów aktualizujących wartość należności</w:t>
            </w:r>
            <w:r w:rsidR="009E77DC" w:rsidRPr="003A5976">
              <w:rPr>
                <w:rFonts w:ascii="Times New Roman" w:hAnsi="Times New Roman"/>
                <w:sz w:val="19"/>
                <w:szCs w:val="19"/>
              </w:rPr>
              <w:t xml:space="preserve">: stan na początek roku obrotowego </w:t>
            </w:r>
            <w:r w:rsidR="006C05D8">
              <w:rPr>
                <w:rFonts w:ascii="Times New Roman" w:hAnsi="Times New Roman"/>
                <w:sz w:val="19"/>
                <w:szCs w:val="19"/>
              </w:rPr>
              <w:t xml:space="preserve">4.877.771,08 </w:t>
            </w:r>
            <w:r w:rsidR="006C05D8" w:rsidRPr="003A5976">
              <w:rPr>
                <w:rFonts w:ascii="Times New Roman" w:hAnsi="Times New Roman"/>
                <w:sz w:val="19"/>
                <w:szCs w:val="19"/>
              </w:rPr>
              <w:t>zł</w:t>
            </w:r>
            <w:r w:rsidR="009E77DC" w:rsidRPr="003A5976">
              <w:rPr>
                <w:rFonts w:ascii="Times New Roman" w:hAnsi="Times New Roman"/>
                <w:sz w:val="19"/>
                <w:szCs w:val="19"/>
              </w:rPr>
              <w:t xml:space="preserve">; zwiększenia </w:t>
            </w:r>
            <w:r w:rsidR="00F64A1A" w:rsidRPr="003A5976">
              <w:rPr>
                <w:rFonts w:ascii="Times New Roman" w:hAnsi="Times New Roman"/>
                <w:sz w:val="19"/>
                <w:szCs w:val="19"/>
              </w:rPr>
              <w:br/>
            </w:r>
            <w:r w:rsidR="006C05D8">
              <w:rPr>
                <w:rFonts w:ascii="Times New Roman" w:hAnsi="Times New Roman"/>
                <w:sz w:val="19"/>
                <w:szCs w:val="19"/>
              </w:rPr>
              <w:t>177.099,94</w:t>
            </w:r>
            <w:r w:rsidR="009E77DC" w:rsidRPr="003A5976">
              <w:rPr>
                <w:rFonts w:ascii="Times New Roman" w:hAnsi="Times New Roman"/>
                <w:sz w:val="19"/>
                <w:szCs w:val="19"/>
              </w:rPr>
              <w:t xml:space="preserve"> zł; wykorzystanie </w:t>
            </w:r>
            <w:r w:rsidR="00F64A1A" w:rsidRPr="003A5976">
              <w:rPr>
                <w:rFonts w:ascii="Times New Roman" w:hAnsi="Times New Roman"/>
                <w:sz w:val="19"/>
                <w:szCs w:val="19"/>
              </w:rPr>
              <w:t>0</w:t>
            </w:r>
            <w:r w:rsidR="00AA65B7" w:rsidRPr="003A5976">
              <w:rPr>
                <w:rFonts w:ascii="Times New Roman" w:hAnsi="Times New Roman"/>
                <w:sz w:val="19"/>
                <w:szCs w:val="19"/>
              </w:rPr>
              <w:t>,00</w:t>
            </w:r>
            <w:r w:rsidR="009E77DC" w:rsidRPr="003A5976">
              <w:rPr>
                <w:rFonts w:ascii="Times New Roman" w:hAnsi="Times New Roman"/>
                <w:sz w:val="19"/>
                <w:szCs w:val="19"/>
              </w:rPr>
              <w:t xml:space="preserve"> zł; rozwiązanie </w:t>
            </w:r>
            <w:r w:rsidR="006C05D8">
              <w:rPr>
                <w:rFonts w:ascii="Times New Roman" w:hAnsi="Times New Roman"/>
                <w:sz w:val="19"/>
                <w:szCs w:val="19"/>
              </w:rPr>
              <w:t>883.689,70</w:t>
            </w:r>
            <w:r w:rsidR="006F601A">
              <w:rPr>
                <w:rFonts w:ascii="Times New Roman" w:hAnsi="Times New Roman"/>
                <w:sz w:val="19"/>
                <w:szCs w:val="19"/>
              </w:rPr>
              <w:t xml:space="preserve"> </w:t>
            </w:r>
            <w:r w:rsidR="009E77DC" w:rsidRPr="003A5976">
              <w:rPr>
                <w:rFonts w:ascii="Times New Roman" w:hAnsi="Times New Roman"/>
                <w:sz w:val="19"/>
                <w:szCs w:val="19"/>
              </w:rPr>
              <w:t xml:space="preserve">zł; stan na koniec roku obrotowego </w:t>
            </w:r>
            <w:r w:rsidR="00E62D78">
              <w:rPr>
                <w:rFonts w:ascii="Times New Roman" w:hAnsi="Times New Roman"/>
                <w:sz w:val="19"/>
                <w:szCs w:val="19"/>
              </w:rPr>
              <w:t>4.</w:t>
            </w:r>
            <w:r w:rsidR="006C05D8">
              <w:rPr>
                <w:rFonts w:ascii="Times New Roman" w:hAnsi="Times New Roman"/>
                <w:sz w:val="19"/>
                <w:szCs w:val="19"/>
              </w:rPr>
              <w:t>171.181,32</w:t>
            </w:r>
            <w:r w:rsidR="00E62D78">
              <w:rPr>
                <w:rFonts w:ascii="Times New Roman" w:hAnsi="Times New Roman"/>
                <w:sz w:val="19"/>
                <w:szCs w:val="19"/>
              </w:rPr>
              <w:t xml:space="preserve"> </w:t>
            </w:r>
            <w:r w:rsidR="009E77DC" w:rsidRPr="003A5976">
              <w:rPr>
                <w:rFonts w:ascii="Times New Roman" w:hAnsi="Times New Roman"/>
                <w:sz w:val="19"/>
                <w:szCs w:val="19"/>
              </w:rPr>
              <w:t>zł</w:t>
            </w:r>
            <w:r w:rsidR="00662C73" w:rsidRPr="003A5976">
              <w:rPr>
                <w:rFonts w:ascii="Times New Roman" w:hAnsi="Times New Roman"/>
                <w:sz w:val="19"/>
                <w:szCs w:val="19"/>
              </w:rPr>
              <w:t>.</w:t>
            </w:r>
          </w:p>
        </w:tc>
      </w:tr>
      <w:tr w:rsidR="00292FE3" w:rsidRPr="00D46B97" w:rsidTr="0021077F">
        <w:trPr>
          <w:trHeight w:val="58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1.8.</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dane o stanie rezerw według celu ich utworzenia na początek roku obrotowego, zwiększeniach, wykorzystaniu,</w:t>
            </w:r>
            <w:r w:rsidR="00EB077D" w:rsidRPr="00D46B97">
              <w:rPr>
                <w:rStyle w:val="Teksttreci29"/>
                <w:color w:val="000000"/>
              </w:rPr>
              <w:br/>
            </w:r>
            <w:r w:rsidRPr="00D46B97">
              <w:rPr>
                <w:rStyle w:val="Teksttreci29"/>
                <w:color w:val="000000"/>
              </w:rPr>
              <w:t>rozwiązaniu i stanie końcowym</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26EFF" w:rsidRDefault="00FE47FB" w:rsidP="00AE7A2A">
            <w:pPr>
              <w:spacing w:after="0" w:line="240" w:lineRule="auto"/>
              <w:ind w:left="28" w:right="28"/>
              <w:rPr>
                <w:rFonts w:ascii="Times New Roman" w:hAnsi="Times New Roman"/>
                <w:sz w:val="19"/>
                <w:szCs w:val="19"/>
              </w:rPr>
            </w:pPr>
            <w:r>
              <w:rPr>
                <w:rFonts w:ascii="Times New Roman" w:hAnsi="Times New Roman"/>
                <w:sz w:val="19"/>
                <w:szCs w:val="19"/>
              </w:rPr>
              <w:t xml:space="preserve"> Nie dotyczy</w:t>
            </w:r>
          </w:p>
        </w:tc>
      </w:tr>
      <w:tr w:rsidR="00292FE3" w:rsidRPr="00D46B97" w:rsidTr="0021077F">
        <w:trPr>
          <w:trHeight w:val="586"/>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pStyle w:val="Teksttreci20"/>
              <w:shd w:val="clear" w:color="auto" w:fill="auto"/>
              <w:ind w:left="84" w:right="28"/>
            </w:pPr>
            <w:r w:rsidRPr="004F46CA">
              <w:rPr>
                <w:rStyle w:val="Teksttreci29"/>
                <w:color w:val="000000"/>
              </w:rPr>
              <w:t>1.9.</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292FE3" w:rsidP="00EB077D">
            <w:pPr>
              <w:pStyle w:val="Teksttreci20"/>
              <w:shd w:val="clear" w:color="auto" w:fill="auto"/>
              <w:ind w:left="107" w:right="28" w:firstLine="14"/>
              <w:jc w:val="both"/>
            </w:pPr>
            <w:r w:rsidRPr="004F46CA">
              <w:rPr>
                <w:rStyle w:val="Teksttreci29"/>
                <w:color w:val="000000"/>
              </w:rPr>
              <w:t xml:space="preserve">podział zobowiązań długoterminowych </w:t>
            </w:r>
            <w:r w:rsidR="00553B25" w:rsidRPr="004F46CA">
              <w:rPr>
                <w:rStyle w:val="Teksttreci29"/>
                <w:color w:val="000000"/>
              </w:rPr>
              <w:t>o pozostałym od dnia bilansowego, przewidywanym umową lub wynikającym z innego tytułu prawnego, okresie spłaty:</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pStyle w:val="Teksttreci20"/>
              <w:shd w:val="clear" w:color="auto" w:fill="auto"/>
              <w:ind w:left="84" w:right="28"/>
            </w:pPr>
            <w:r w:rsidRPr="004F46CA">
              <w:rPr>
                <w:rStyle w:val="Teksttreci29"/>
                <w:color w:val="000000"/>
              </w:rPr>
              <w:t>a)</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292FE3" w:rsidP="00EB077D">
            <w:pPr>
              <w:pStyle w:val="Teksttreci20"/>
              <w:shd w:val="clear" w:color="auto" w:fill="auto"/>
              <w:ind w:left="107" w:right="28" w:firstLine="14"/>
              <w:jc w:val="both"/>
            </w:pPr>
            <w:r w:rsidRPr="004F46CA">
              <w:rPr>
                <w:rStyle w:val="Teksttreci29"/>
                <w:color w:val="000000"/>
              </w:rPr>
              <w:t>powyżej 1 roku do 3 lat</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FE47FB" w:rsidP="006E1F92">
            <w:pPr>
              <w:spacing w:after="0" w:line="240" w:lineRule="auto"/>
              <w:ind w:left="28" w:right="28"/>
              <w:rPr>
                <w:rFonts w:ascii="Times New Roman" w:hAnsi="Times New Roman"/>
                <w:sz w:val="19"/>
                <w:szCs w:val="19"/>
              </w:rPr>
            </w:pPr>
            <w:r w:rsidRPr="004F46CA">
              <w:rPr>
                <w:rFonts w:ascii="Times New Roman" w:hAnsi="Times New Roman"/>
                <w:sz w:val="19"/>
                <w:szCs w:val="19"/>
              </w:rPr>
              <w:t xml:space="preserve"> </w:t>
            </w:r>
            <w:r w:rsidR="006E1F92">
              <w:rPr>
                <w:rFonts w:ascii="Times New Roman" w:hAnsi="Times New Roman"/>
                <w:sz w:val="19"/>
                <w:szCs w:val="19"/>
              </w:rPr>
              <w:t xml:space="preserve">0,00 </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pStyle w:val="Teksttreci20"/>
              <w:shd w:val="clear" w:color="auto" w:fill="auto"/>
              <w:ind w:left="84" w:right="28"/>
            </w:pPr>
            <w:r w:rsidRPr="004F46CA">
              <w:rPr>
                <w:rStyle w:val="Teksttreci29"/>
                <w:color w:val="000000"/>
              </w:rPr>
              <w:t>b)</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292FE3" w:rsidP="00EB077D">
            <w:pPr>
              <w:pStyle w:val="Teksttreci20"/>
              <w:shd w:val="clear" w:color="auto" w:fill="auto"/>
              <w:ind w:left="107" w:right="28" w:firstLine="14"/>
              <w:jc w:val="both"/>
            </w:pPr>
            <w:r w:rsidRPr="004F46CA">
              <w:rPr>
                <w:rStyle w:val="Teksttreci29"/>
                <w:color w:val="000000"/>
              </w:rPr>
              <w:t>powyżej 3 do 5 lat</w:t>
            </w:r>
          </w:p>
        </w:tc>
      </w:tr>
      <w:tr w:rsidR="00292FE3" w:rsidRPr="00D46B97" w:rsidTr="00B369C0">
        <w:trPr>
          <w:trHeight w:val="311"/>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FE47FB" w:rsidP="00AE7A2A">
            <w:pPr>
              <w:spacing w:after="0" w:line="240" w:lineRule="auto"/>
              <w:ind w:left="28" w:right="28"/>
              <w:rPr>
                <w:rFonts w:ascii="Times New Roman" w:hAnsi="Times New Roman"/>
                <w:sz w:val="19"/>
                <w:szCs w:val="19"/>
              </w:rPr>
            </w:pPr>
            <w:r w:rsidRPr="004F46CA">
              <w:rPr>
                <w:rFonts w:ascii="Times New Roman" w:hAnsi="Times New Roman"/>
                <w:sz w:val="19"/>
                <w:szCs w:val="19"/>
              </w:rPr>
              <w:t xml:space="preserve">  0,00</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pStyle w:val="Teksttreci20"/>
              <w:shd w:val="clear" w:color="auto" w:fill="auto"/>
              <w:ind w:left="84" w:right="28"/>
            </w:pPr>
            <w:r w:rsidRPr="004F46CA">
              <w:rPr>
                <w:rStyle w:val="Teksttreci29"/>
                <w:color w:val="000000"/>
              </w:rPr>
              <w:t>c)</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292FE3" w:rsidP="00EB077D">
            <w:pPr>
              <w:pStyle w:val="Teksttreci20"/>
              <w:shd w:val="clear" w:color="auto" w:fill="auto"/>
              <w:ind w:left="107" w:right="28" w:firstLine="14"/>
              <w:jc w:val="both"/>
            </w:pPr>
            <w:r w:rsidRPr="004F46CA">
              <w:rPr>
                <w:rStyle w:val="Teksttreci29"/>
                <w:color w:val="000000"/>
              </w:rPr>
              <w:t>powyżej 5 lat</w:t>
            </w:r>
          </w:p>
        </w:tc>
      </w:tr>
      <w:tr w:rsidR="00292FE3" w:rsidRPr="00D46B97" w:rsidTr="00B369C0">
        <w:trPr>
          <w:trHeight w:val="278"/>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FE47FB" w:rsidP="00AE7A2A">
            <w:pPr>
              <w:spacing w:after="0" w:line="240" w:lineRule="auto"/>
              <w:ind w:left="28" w:right="28"/>
              <w:rPr>
                <w:rFonts w:ascii="Times New Roman" w:hAnsi="Times New Roman"/>
                <w:sz w:val="19"/>
                <w:szCs w:val="19"/>
              </w:rPr>
            </w:pPr>
            <w:r w:rsidRPr="004F46CA">
              <w:rPr>
                <w:rFonts w:ascii="Times New Roman" w:hAnsi="Times New Roman"/>
                <w:sz w:val="19"/>
                <w:szCs w:val="19"/>
              </w:rPr>
              <w:t xml:space="preserve">  0,00</w:t>
            </w:r>
          </w:p>
        </w:tc>
      </w:tr>
      <w:tr w:rsidR="00292FE3" w:rsidRPr="00D46B97" w:rsidTr="0021077F">
        <w:trPr>
          <w:trHeight w:val="82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1.10.</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kwotę zobowiązań w sytuacji gdy jednostka kwalifikuje umowy leasingu zgodnie z przepisami podatkowymi</w:t>
            </w:r>
            <w:r w:rsidR="00EB077D" w:rsidRPr="00D46B97">
              <w:rPr>
                <w:rStyle w:val="Teksttreci29"/>
                <w:color w:val="000000"/>
              </w:rPr>
              <w:br/>
            </w:r>
            <w:r w:rsidRPr="00D46B97">
              <w:rPr>
                <w:rStyle w:val="Teksttreci29"/>
                <w:color w:val="000000"/>
              </w:rPr>
              <w:t>(leasing operacyjny), a według przepisów o rachunkowości byłby to leasing finansowy lub zwrotny z podziałem</w:t>
            </w:r>
            <w:r w:rsidR="00EB077D" w:rsidRPr="00D46B97">
              <w:rPr>
                <w:rStyle w:val="Teksttreci29"/>
                <w:color w:val="000000"/>
              </w:rPr>
              <w:br/>
            </w:r>
            <w:r w:rsidRPr="00D46B97">
              <w:rPr>
                <w:rStyle w:val="Teksttreci29"/>
                <w:color w:val="000000"/>
              </w:rPr>
              <w:t>na kwotę zobowiązań z tytułu leasingu finansowego lub leasingu zwrotnego</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26EFF" w:rsidRDefault="001F3969" w:rsidP="00AE7A2A">
            <w:pPr>
              <w:spacing w:after="0" w:line="240" w:lineRule="auto"/>
              <w:ind w:left="28" w:right="28"/>
              <w:rPr>
                <w:rFonts w:ascii="Times New Roman" w:hAnsi="Times New Roman"/>
                <w:sz w:val="19"/>
                <w:szCs w:val="19"/>
              </w:rPr>
            </w:pPr>
            <w:r>
              <w:rPr>
                <w:rFonts w:ascii="Times New Roman" w:hAnsi="Times New Roman"/>
                <w:sz w:val="19"/>
                <w:szCs w:val="19"/>
              </w:rPr>
              <w:t xml:space="preserve"> Nie dotyczy</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łączną kwotę zobowiązań zabezpieczonych na majątku jednostki ze wskazaniem charakteru i formy tych</w:t>
            </w:r>
            <w:r w:rsidR="00EB077D" w:rsidRPr="00D46B97">
              <w:rPr>
                <w:rStyle w:val="Teksttreci29"/>
                <w:color w:val="000000"/>
              </w:rPr>
              <w:br/>
            </w:r>
            <w:r w:rsidRPr="00D46B97">
              <w:rPr>
                <w:rStyle w:val="Teksttreci29"/>
                <w:color w:val="000000"/>
              </w:rPr>
              <w:t>zabezpieczeń</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26EFF" w:rsidRDefault="001F3969" w:rsidP="00AE7A2A">
            <w:pPr>
              <w:spacing w:after="0" w:line="240" w:lineRule="auto"/>
              <w:ind w:left="28" w:right="28"/>
              <w:rPr>
                <w:rFonts w:ascii="Times New Roman" w:hAnsi="Times New Roman"/>
                <w:sz w:val="19"/>
                <w:szCs w:val="19"/>
              </w:rPr>
            </w:pPr>
            <w:r>
              <w:rPr>
                <w:rFonts w:ascii="Times New Roman" w:hAnsi="Times New Roman"/>
                <w:sz w:val="19"/>
                <w:szCs w:val="19"/>
              </w:rPr>
              <w:t xml:space="preserve"> </w:t>
            </w:r>
            <w:r w:rsidR="00026EFF">
              <w:rPr>
                <w:rFonts w:ascii="Times New Roman" w:hAnsi="Times New Roman"/>
                <w:sz w:val="19"/>
                <w:szCs w:val="19"/>
              </w:rPr>
              <w:t>Nie występuje</w:t>
            </w:r>
          </w:p>
        </w:tc>
      </w:tr>
      <w:tr w:rsidR="00292FE3" w:rsidRPr="00D46B97" w:rsidTr="0021077F">
        <w:trPr>
          <w:trHeight w:val="82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łączną kwotę zobowiązań warunkowych, w tym również udzielonych przez jednostkę gwarancji i poręczeń,</w:t>
            </w:r>
            <w:r w:rsidR="00EB077D" w:rsidRPr="00D46B97">
              <w:rPr>
                <w:rStyle w:val="Teksttreci29"/>
                <w:color w:val="000000"/>
              </w:rPr>
              <w:br/>
            </w:r>
            <w:r w:rsidRPr="00D46B97">
              <w:rPr>
                <w:rStyle w:val="Teksttreci29"/>
                <w:color w:val="000000"/>
              </w:rPr>
              <w:t>także wekslowych, niewykazanych w bilansie, ze wskazaniem zobowiązań zabezpieczonych na majątku</w:t>
            </w:r>
            <w:r w:rsidR="00EB077D" w:rsidRPr="00D46B97">
              <w:rPr>
                <w:rStyle w:val="Teksttreci29"/>
                <w:color w:val="000000"/>
              </w:rPr>
              <w:br/>
            </w:r>
            <w:r w:rsidRPr="00D46B97">
              <w:rPr>
                <w:rStyle w:val="Teksttreci29"/>
                <w:color w:val="000000"/>
              </w:rPr>
              <w:t>jednostki oraz charakteru i formy tych zabezpieczeń</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026EFF" w:rsidRDefault="001F3969" w:rsidP="001F3969">
            <w:pPr>
              <w:spacing w:after="0" w:line="240" w:lineRule="auto"/>
              <w:ind w:left="28" w:right="28"/>
              <w:rPr>
                <w:rFonts w:ascii="Times New Roman" w:hAnsi="Times New Roman"/>
                <w:sz w:val="19"/>
                <w:szCs w:val="19"/>
              </w:rPr>
            </w:pPr>
            <w:r>
              <w:rPr>
                <w:rFonts w:ascii="Times New Roman" w:hAnsi="Times New Roman"/>
                <w:sz w:val="19"/>
                <w:szCs w:val="19"/>
              </w:rPr>
              <w:t xml:space="preserve">  Nie występuje</w:t>
            </w:r>
          </w:p>
        </w:tc>
      </w:tr>
      <w:tr w:rsidR="00292FE3" w:rsidRPr="00D46B97" w:rsidTr="0021077F">
        <w:trPr>
          <w:trHeight w:val="82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1.13.</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wykaz istotnych pozycji czynnych i biernych rozliczeń międzyokresowych, w tym kwotę czynnych rozliczeń</w:t>
            </w:r>
            <w:r w:rsidR="00EB077D" w:rsidRPr="00D46B97">
              <w:rPr>
                <w:rStyle w:val="Teksttreci29"/>
                <w:color w:val="000000"/>
              </w:rPr>
              <w:br/>
            </w:r>
            <w:r w:rsidRPr="00D46B97">
              <w:rPr>
                <w:rStyle w:val="Teksttreci29"/>
                <w:color w:val="000000"/>
              </w:rPr>
              <w:t>międzyokresowych kosztów stanowiących różnicę między wartością otrzymanych finansowych składników</w:t>
            </w:r>
            <w:r w:rsidR="00EB077D" w:rsidRPr="00D46B97">
              <w:rPr>
                <w:rStyle w:val="Teksttreci29"/>
                <w:color w:val="000000"/>
              </w:rPr>
              <w:br/>
            </w:r>
            <w:r w:rsidRPr="00D46B97">
              <w:rPr>
                <w:rStyle w:val="Teksttreci29"/>
                <w:color w:val="000000"/>
              </w:rPr>
              <w:t>aktywów a zobowiązaniem zapłaty za nie</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026EFF" w:rsidRPr="00026EFF" w:rsidRDefault="006C05D8" w:rsidP="00A20592">
            <w:pPr>
              <w:spacing w:after="0" w:line="240" w:lineRule="auto"/>
              <w:ind w:left="28" w:right="28"/>
              <w:rPr>
                <w:rFonts w:ascii="Times New Roman" w:hAnsi="Times New Roman"/>
                <w:sz w:val="19"/>
                <w:szCs w:val="19"/>
              </w:rPr>
            </w:pPr>
            <w:r>
              <w:rPr>
                <w:rFonts w:ascii="Times New Roman" w:hAnsi="Times New Roman"/>
                <w:sz w:val="19"/>
                <w:szCs w:val="19"/>
              </w:rPr>
              <w:t>Nie dotyczy</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pStyle w:val="Teksttreci20"/>
              <w:shd w:val="clear" w:color="auto" w:fill="auto"/>
              <w:ind w:left="84" w:right="28"/>
            </w:pPr>
            <w:r w:rsidRPr="004F46CA">
              <w:rPr>
                <w:rStyle w:val="Teksttreci29"/>
                <w:color w:val="000000"/>
              </w:rPr>
              <w:t>1.14.</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292FE3" w:rsidP="00EB077D">
            <w:pPr>
              <w:pStyle w:val="Teksttreci20"/>
              <w:shd w:val="clear" w:color="auto" w:fill="auto"/>
              <w:ind w:left="107" w:right="28" w:firstLine="14"/>
              <w:jc w:val="both"/>
            </w:pPr>
            <w:r w:rsidRPr="004F46CA">
              <w:rPr>
                <w:rStyle w:val="Teksttreci29"/>
                <w:color w:val="000000"/>
              </w:rPr>
              <w:t>łączną kwotę otrzymanych przez jednostkę gwarancji i poręczeń niewykazanych w bilansie</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4F46CA"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F46CA" w:rsidRDefault="001F2E53" w:rsidP="006F601A">
            <w:pPr>
              <w:spacing w:after="0" w:line="240" w:lineRule="auto"/>
              <w:ind w:left="28" w:right="28"/>
              <w:rPr>
                <w:rFonts w:ascii="Times New Roman" w:hAnsi="Times New Roman"/>
                <w:sz w:val="19"/>
                <w:szCs w:val="19"/>
              </w:rPr>
            </w:pPr>
            <w:r>
              <w:rPr>
                <w:rFonts w:ascii="Times New Roman" w:hAnsi="Times New Roman"/>
                <w:sz w:val="19"/>
                <w:szCs w:val="19"/>
              </w:rPr>
              <w:t>9.</w:t>
            </w:r>
            <w:r w:rsidR="008471B0">
              <w:rPr>
                <w:rFonts w:ascii="Times New Roman" w:hAnsi="Times New Roman"/>
                <w:sz w:val="19"/>
                <w:szCs w:val="19"/>
              </w:rPr>
              <w:t>524.323,90</w:t>
            </w:r>
            <w:r w:rsidR="00E03F97" w:rsidRPr="003A5976">
              <w:rPr>
                <w:rFonts w:ascii="Times New Roman" w:hAnsi="Times New Roman"/>
                <w:sz w:val="19"/>
                <w:szCs w:val="19"/>
              </w:rPr>
              <w:t xml:space="preserve"> zł</w:t>
            </w:r>
            <w:r w:rsidR="00F1727F" w:rsidRPr="003A5976">
              <w:rPr>
                <w:rFonts w:ascii="Times New Roman" w:hAnsi="Times New Roman"/>
                <w:sz w:val="19"/>
                <w:szCs w:val="19"/>
              </w:rPr>
              <w:t>.</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pStyle w:val="Teksttreci20"/>
              <w:shd w:val="clear" w:color="auto" w:fill="auto"/>
              <w:ind w:left="84" w:right="28"/>
            </w:pPr>
            <w:r w:rsidRPr="00410847">
              <w:rPr>
                <w:rStyle w:val="Teksttreci29"/>
                <w:color w:val="000000"/>
              </w:rPr>
              <w:t>1.15.</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292FE3" w:rsidP="00EB077D">
            <w:pPr>
              <w:pStyle w:val="Teksttreci20"/>
              <w:shd w:val="clear" w:color="auto" w:fill="auto"/>
              <w:ind w:left="107" w:right="28" w:firstLine="14"/>
              <w:jc w:val="both"/>
            </w:pPr>
            <w:r w:rsidRPr="00410847">
              <w:rPr>
                <w:rStyle w:val="Teksttreci29"/>
                <w:color w:val="000000"/>
              </w:rPr>
              <w:t>kwotę wypłaconych środków pieniężnych na świadczenia pracownicze</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010BCF" w:rsidP="001F2E53">
            <w:pPr>
              <w:spacing w:after="0" w:line="240" w:lineRule="auto"/>
              <w:ind w:left="28" w:right="28"/>
              <w:rPr>
                <w:rFonts w:ascii="Times New Roman" w:hAnsi="Times New Roman"/>
                <w:sz w:val="19"/>
                <w:szCs w:val="19"/>
              </w:rPr>
            </w:pPr>
            <w:r w:rsidRPr="003A5976">
              <w:rPr>
                <w:rFonts w:ascii="Times New Roman" w:hAnsi="Times New Roman"/>
                <w:sz w:val="19"/>
                <w:szCs w:val="19"/>
              </w:rPr>
              <w:t xml:space="preserve">Odprawy emerytalne </w:t>
            </w:r>
            <w:r w:rsidR="008471B0">
              <w:rPr>
                <w:rFonts w:ascii="Times New Roman" w:hAnsi="Times New Roman"/>
                <w:sz w:val="19"/>
                <w:szCs w:val="19"/>
              </w:rPr>
              <w:t>82.742,40</w:t>
            </w:r>
            <w:r w:rsidRPr="003A5976">
              <w:rPr>
                <w:rFonts w:ascii="Times New Roman" w:hAnsi="Times New Roman"/>
                <w:sz w:val="19"/>
                <w:szCs w:val="19"/>
              </w:rPr>
              <w:t xml:space="preserve"> zł, ekwiwalenty za urlop </w:t>
            </w:r>
            <w:r w:rsidR="008471B0">
              <w:rPr>
                <w:rFonts w:ascii="Times New Roman" w:hAnsi="Times New Roman"/>
                <w:sz w:val="19"/>
                <w:szCs w:val="19"/>
              </w:rPr>
              <w:t>5.394,16</w:t>
            </w:r>
            <w:r w:rsidRPr="003A5976">
              <w:rPr>
                <w:rFonts w:ascii="Times New Roman" w:hAnsi="Times New Roman"/>
                <w:sz w:val="19"/>
                <w:szCs w:val="19"/>
              </w:rPr>
              <w:t xml:space="preserve"> zł, nagrody jubileuszowe </w:t>
            </w:r>
            <w:r w:rsidR="008471B0">
              <w:rPr>
                <w:rFonts w:ascii="Times New Roman" w:hAnsi="Times New Roman"/>
                <w:sz w:val="19"/>
                <w:szCs w:val="19"/>
              </w:rPr>
              <w:t>228.717,65</w:t>
            </w:r>
            <w:r w:rsidRPr="003A5976">
              <w:rPr>
                <w:rFonts w:ascii="Times New Roman" w:hAnsi="Times New Roman"/>
                <w:sz w:val="19"/>
                <w:szCs w:val="19"/>
              </w:rPr>
              <w:t xml:space="preserve"> zł.</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pStyle w:val="Teksttreci20"/>
              <w:shd w:val="clear" w:color="auto" w:fill="auto"/>
              <w:ind w:left="84" w:right="28"/>
            </w:pPr>
            <w:r w:rsidRPr="00410847">
              <w:rPr>
                <w:rStyle w:val="Teksttreci29"/>
                <w:color w:val="000000"/>
              </w:rPr>
              <w:t>1.16.</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292FE3" w:rsidP="00EB077D">
            <w:pPr>
              <w:pStyle w:val="Teksttreci20"/>
              <w:shd w:val="clear" w:color="auto" w:fill="auto"/>
              <w:ind w:left="107" w:right="28" w:firstLine="14"/>
              <w:jc w:val="both"/>
            </w:pPr>
            <w:r w:rsidRPr="00410847">
              <w:rPr>
                <w:rStyle w:val="Teksttreci29"/>
                <w:color w:val="000000"/>
              </w:rPr>
              <w:t>inne informacje</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37030A" w:rsidRDefault="00292FE3" w:rsidP="00AE7A2A">
            <w:pPr>
              <w:spacing w:after="0" w:line="240" w:lineRule="auto"/>
              <w:ind w:left="28" w:right="28"/>
              <w:rPr>
                <w:rFonts w:ascii="Times New Roman" w:hAnsi="Times New Roman"/>
                <w:sz w:val="19"/>
                <w:szCs w:val="19"/>
              </w:rPr>
            </w:pP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AE7A2A">
            <w:pPr>
              <w:spacing w:after="0" w:line="240" w:lineRule="auto"/>
              <w:ind w:left="28" w:right="28"/>
              <w:rPr>
                <w:sz w:val="10"/>
                <w:szCs w:val="10"/>
              </w:rPr>
            </w:pP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2.1.</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wysokość odpisów aktualizujących wartość zapasów</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37030A" w:rsidRDefault="00010BCF" w:rsidP="00AE7A2A">
            <w:pPr>
              <w:spacing w:after="0" w:line="240" w:lineRule="auto"/>
              <w:ind w:left="28" w:right="28"/>
              <w:rPr>
                <w:rFonts w:ascii="Times New Roman" w:hAnsi="Times New Roman"/>
                <w:sz w:val="19"/>
                <w:szCs w:val="19"/>
              </w:rPr>
            </w:pPr>
            <w:r>
              <w:rPr>
                <w:rFonts w:ascii="Times New Roman" w:hAnsi="Times New Roman"/>
                <w:sz w:val="19"/>
                <w:szCs w:val="19"/>
              </w:rPr>
              <w:t xml:space="preserve"> </w:t>
            </w:r>
            <w:r w:rsidR="0037030A">
              <w:rPr>
                <w:rFonts w:ascii="Times New Roman" w:hAnsi="Times New Roman"/>
                <w:sz w:val="19"/>
                <w:szCs w:val="19"/>
              </w:rPr>
              <w:t>Nie dotyczy</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pStyle w:val="Teksttreci20"/>
              <w:shd w:val="clear" w:color="auto" w:fill="auto"/>
              <w:ind w:left="84" w:right="28"/>
            </w:pPr>
            <w:r w:rsidRPr="00410847">
              <w:rPr>
                <w:rStyle w:val="Teksttreci29"/>
                <w:color w:val="000000"/>
              </w:rPr>
              <w:t>2.2.</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292FE3" w:rsidP="00EB077D">
            <w:pPr>
              <w:pStyle w:val="Teksttreci20"/>
              <w:shd w:val="clear" w:color="auto" w:fill="auto"/>
              <w:ind w:left="107" w:right="28" w:firstLine="14"/>
              <w:jc w:val="both"/>
            </w:pPr>
            <w:r w:rsidRPr="00410847">
              <w:rPr>
                <w:rStyle w:val="Teksttreci29"/>
                <w:color w:val="000000"/>
              </w:rPr>
              <w:t>koszt wytworzenia środków trwałych w budowie, w tym odsetki oraz różnice kursowe, które powiększyły koszt</w:t>
            </w:r>
            <w:r w:rsidR="00EB077D" w:rsidRPr="00410847">
              <w:rPr>
                <w:rStyle w:val="Teksttreci29"/>
                <w:color w:val="000000"/>
              </w:rPr>
              <w:br/>
            </w:r>
            <w:r w:rsidRPr="00410847">
              <w:rPr>
                <w:rStyle w:val="Teksttreci29"/>
                <w:color w:val="000000"/>
              </w:rPr>
              <w:t>wytworzenia środków trwałych w budowie w roku obrotowym</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8471B0" w:rsidP="003A5976">
            <w:pPr>
              <w:spacing w:after="0" w:line="240" w:lineRule="auto"/>
              <w:ind w:left="28" w:right="28"/>
              <w:rPr>
                <w:rFonts w:ascii="Times New Roman" w:hAnsi="Times New Roman"/>
                <w:sz w:val="19"/>
                <w:szCs w:val="19"/>
              </w:rPr>
            </w:pPr>
            <w:r>
              <w:rPr>
                <w:rFonts w:ascii="Times New Roman" w:hAnsi="Times New Roman"/>
                <w:sz w:val="19"/>
                <w:szCs w:val="19"/>
              </w:rPr>
              <w:t>60.600.359,56</w:t>
            </w:r>
            <w:r w:rsidR="00590375" w:rsidRPr="003A5976">
              <w:rPr>
                <w:rFonts w:ascii="Times New Roman" w:hAnsi="Times New Roman"/>
                <w:sz w:val="19"/>
                <w:szCs w:val="19"/>
              </w:rPr>
              <w:t xml:space="preserve"> </w:t>
            </w:r>
            <w:r w:rsidR="003448DF" w:rsidRPr="003A5976">
              <w:rPr>
                <w:rFonts w:ascii="Times New Roman" w:hAnsi="Times New Roman"/>
                <w:sz w:val="19"/>
                <w:szCs w:val="19"/>
              </w:rPr>
              <w:t xml:space="preserve">zł </w:t>
            </w:r>
          </w:p>
        </w:tc>
      </w:tr>
      <w:tr w:rsidR="00292FE3" w:rsidRPr="00D46B97" w:rsidTr="0021077F">
        <w:trPr>
          <w:trHeight w:val="581"/>
        </w:trPr>
        <w:tc>
          <w:tcPr>
            <w:tcW w:w="691" w:type="dxa"/>
            <w:tcBorders>
              <w:top w:val="single" w:sz="4" w:space="0" w:color="auto"/>
              <w:left w:val="single" w:sz="4" w:space="0" w:color="auto"/>
              <w:bottom w:val="nil"/>
              <w:right w:val="nil"/>
            </w:tcBorders>
            <w:shd w:val="clear" w:color="auto" w:fill="FFFFFF"/>
            <w:vAlign w:val="center"/>
          </w:tcPr>
          <w:p w:rsidR="00292FE3" w:rsidRPr="00410847" w:rsidRDefault="00292FE3" w:rsidP="00AE7A2A">
            <w:pPr>
              <w:pStyle w:val="Teksttreci20"/>
              <w:shd w:val="clear" w:color="auto" w:fill="auto"/>
              <w:ind w:left="84" w:right="28"/>
            </w:pPr>
            <w:r w:rsidRPr="00410847">
              <w:rPr>
                <w:rStyle w:val="Teksttreci29"/>
                <w:color w:val="000000"/>
              </w:rPr>
              <w:t>2.3.</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410847" w:rsidRDefault="00292FE3" w:rsidP="00EB077D">
            <w:pPr>
              <w:pStyle w:val="Teksttreci20"/>
              <w:shd w:val="clear" w:color="auto" w:fill="auto"/>
              <w:ind w:left="107" w:right="28" w:firstLine="14"/>
              <w:jc w:val="both"/>
            </w:pPr>
            <w:r w:rsidRPr="00410847">
              <w:rPr>
                <w:rStyle w:val="Teksttreci29"/>
                <w:color w:val="000000"/>
              </w:rPr>
              <w:t xml:space="preserve">kwotę i charakter poszczególnych </w:t>
            </w:r>
            <w:r w:rsidR="001B3889" w:rsidRPr="00410847">
              <w:rPr>
                <w:rStyle w:val="Teksttreci29"/>
                <w:color w:val="000000"/>
              </w:rPr>
              <w:t xml:space="preserve"> </w:t>
            </w:r>
            <w:r w:rsidRPr="00410847">
              <w:rPr>
                <w:rStyle w:val="Teksttreci29"/>
                <w:color w:val="000000"/>
              </w:rPr>
              <w:t>pozycji przychodów lub kosztów o nadzwyczajnej wartości lub które wystąpiły</w:t>
            </w:r>
            <w:r w:rsidR="00EB077D" w:rsidRPr="00410847">
              <w:rPr>
                <w:rStyle w:val="Teksttreci29"/>
                <w:color w:val="000000"/>
              </w:rPr>
              <w:br/>
            </w:r>
            <w:r w:rsidRPr="00410847">
              <w:rPr>
                <w:rStyle w:val="Teksttreci29"/>
                <w:color w:val="000000"/>
              </w:rPr>
              <w:t>incydentalnie</w:t>
            </w:r>
          </w:p>
        </w:tc>
      </w:tr>
      <w:tr w:rsidR="00292FE3" w:rsidRPr="00D46B97" w:rsidTr="0021077F">
        <w:trPr>
          <w:trHeight w:val="355"/>
        </w:trPr>
        <w:tc>
          <w:tcPr>
            <w:tcW w:w="691" w:type="dxa"/>
            <w:tcBorders>
              <w:top w:val="single" w:sz="4" w:space="0" w:color="auto"/>
              <w:left w:val="single" w:sz="4" w:space="0" w:color="auto"/>
              <w:bottom w:val="single" w:sz="4" w:space="0" w:color="auto"/>
              <w:right w:val="nil"/>
            </w:tcBorders>
            <w:shd w:val="clear" w:color="auto" w:fill="FFFFFF"/>
          </w:tcPr>
          <w:p w:rsidR="00292FE3" w:rsidRPr="0025205E" w:rsidRDefault="00292FE3" w:rsidP="00323F82">
            <w:pPr>
              <w:pStyle w:val="Teksttreci20"/>
              <w:shd w:val="clear" w:color="auto" w:fill="auto"/>
              <w:ind w:left="84" w:right="28"/>
              <w:rPr>
                <w:rStyle w:val="Teksttreci29"/>
                <w:color w:val="000000"/>
                <w:highlight w:val="yellow"/>
              </w:rPr>
            </w:pPr>
          </w:p>
        </w:tc>
        <w:tc>
          <w:tcPr>
            <w:tcW w:w="9178" w:type="dxa"/>
            <w:gridSpan w:val="3"/>
            <w:tcBorders>
              <w:top w:val="single" w:sz="4" w:space="0" w:color="auto"/>
              <w:left w:val="single" w:sz="4" w:space="0" w:color="auto"/>
              <w:bottom w:val="single" w:sz="4" w:space="0" w:color="auto"/>
              <w:right w:val="single" w:sz="4" w:space="0" w:color="auto"/>
            </w:tcBorders>
            <w:shd w:val="clear" w:color="auto" w:fill="FFFFFF"/>
          </w:tcPr>
          <w:p w:rsidR="00292FE3" w:rsidRPr="0025205E" w:rsidRDefault="00DA41B5" w:rsidP="003A5976">
            <w:pPr>
              <w:pStyle w:val="Teksttreci20"/>
              <w:shd w:val="clear" w:color="auto" w:fill="auto"/>
              <w:ind w:left="84" w:right="28"/>
              <w:rPr>
                <w:rStyle w:val="Teksttreci29"/>
                <w:color w:val="000000"/>
                <w:highlight w:val="yellow"/>
              </w:rPr>
            </w:pPr>
            <w:r>
              <w:rPr>
                <w:rStyle w:val="Teksttreci29"/>
                <w:color w:val="000000"/>
              </w:rPr>
              <w:t>983.836,54</w:t>
            </w:r>
            <w:r w:rsidR="000B763D">
              <w:rPr>
                <w:rStyle w:val="Teksttreci29"/>
                <w:color w:val="000000"/>
              </w:rPr>
              <w:t xml:space="preserve"> zł-  odszkodowania</w:t>
            </w:r>
          </w:p>
        </w:tc>
      </w:tr>
      <w:tr w:rsidR="00292FE3" w:rsidRPr="00D46B97" w:rsidTr="0021077F">
        <w:trPr>
          <w:trHeight w:val="830"/>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2.4.</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E007B1" w:rsidRDefault="00292FE3" w:rsidP="00EB077D">
            <w:pPr>
              <w:pStyle w:val="Teksttreci20"/>
              <w:shd w:val="clear" w:color="auto" w:fill="auto"/>
              <w:ind w:left="107" w:right="28" w:firstLine="14"/>
              <w:jc w:val="both"/>
            </w:pPr>
            <w:r w:rsidRPr="00E007B1">
              <w:rPr>
                <w:rStyle w:val="Teksttreci29"/>
                <w:color w:val="000000"/>
              </w:rPr>
              <w:t>informację o kwocie należności z tytułu podatków realizowanych przez organy podatkowe podległe ministrowi</w:t>
            </w:r>
            <w:r w:rsidR="00EB077D" w:rsidRPr="00E007B1">
              <w:rPr>
                <w:rStyle w:val="Teksttreci29"/>
                <w:color w:val="000000"/>
              </w:rPr>
              <w:br/>
            </w:r>
            <w:r w:rsidRPr="00E007B1">
              <w:rPr>
                <w:rStyle w:val="Teksttreci29"/>
                <w:color w:val="000000"/>
              </w:rPr>
              <w:t>właściwemu do spraw finansów publicznych wykazywanych w sprawozdaniu z wykonania planu dochodów</w:t>
            </w:r>
            <w:r w:rsidR="00EB077D" w:rsidRPr="00E007B1">
              <w:rPr>
                <w:rStyle w:val="Teksttreci29"/>
                <w:color w:val="000000"/>
              </w:rPr>
              <w:br/>
            </w:r>
            <w:r w:rsidRPr="00E007B1">
              <w:rPr>
                <w:rStyle w:val="Teksttreci29"/>
                <w:color w:val="000000"/>
              </w:rPr>
              <w:t>budżetowych</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E007B1" w:rsidRDefault="008471B0" w:rsidP="0025205E">
            <w:pPr>
              <w:spacing w:after="0" w:line="240" w:lineRule="auto"/>
              <w:ind w:left="28" w:right="28"/>
              <w:rPr>
                <w:rFonts w:ascii="Times New Roman" w:hAnsi="Times New Roman"/>
                <w:sz w:val="19"/>
                <w:szCs w:val="19"/>
              </w:rPr>
            </w:pPr>
            <w:r>
              <w:rPr>
                <w:rFonts w:ascii="Times New Roman" w:hAnsi="Times New Roman"/>
                <w:sz w:val="19"/>
                <w:szCs w:val="19"/>
              </w:rPr>
              <w:t>356.370,73</w:t>
            </w:r>
            <w:r w:rsidR="00662C73" w:rsidRPr="003A5976">
              <w:rPr>
                <w:rFonts w:ascii="Times New Roman" w:hAnsi="Times New Roman"/>
                <w:sz w:val="19"/>
                <w:szCs w:val="19"/>
              </w:rPr>
              <w:t xml:space="preserve"> zł.</w:t>
            </w:r>
            <w:r w:rsidR="00662C73" w:rsidRPr="00E007B1">
              <w:rPr>
                <w:rFonts w:ascii="Times New Roman" w:hAnsi="Times New Roman"/>
                <w:sz w:val="19"/>
                <w:szCs w:val="19"/>
              </w:rPr>
              <w:t xml:space="preserve"> </w:t>
            </w:r>
          </w:p>
        </w:tc>
      </w:tr>
      <w:tr w:rsidR="00292FE3" w:rsidRPr="00D46B97" w:rsidTr="0021077F">
        <w:trPr>
          <w:trHeight w:val="346"/>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2.5.</w:t>
            </w: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inne informacje</w:t>
            </w:r>
          </w:p>
        </w:tc>
      </w:tr>
      <w:tr w:rsidR="00292FE3" w:rsidRPr="00D46B97" w:rsidTr="0021077F">
        <w:trPr>
          <w:trHeight w:val="341"/>
        </w:trPr>
        <w:tc>
          <w:tcPr>
            <w:tcW w:w="691" w:type="dxa"/>
            <w:tcBorders>
              <w:top w:val="single" w:sz="4" w:space="0" w:color="auto"/>
              <w:left w:val="single" w:sz="4" w:space="0" w:color="auto"/>
              <w:bottom w:val="nil"/>
              <w:right w:val="nil"/>
            </w:tcBorders>
            <w:shd w:val="clear" w:color="auto" w:fill="FFFFFF"/>
            <w:vAlign w:val="center"/>
          </w:tcPr>
          <w:p w:rsidR="00292FE3" w:rsidRPr="00D46B97" w:rsidRDefault="00292FE3" w:rsidP="00AE7A2A">
            <w:pPr>
              <w:spacing w:after="0" w:line="240" w:lineRule="auto"/>
              <w:ind w:left="28" w:right="28"/>
              <w:rPr>
                <w:sz w:val="10"/>
                <w:szCs w:val="10"/>
              </w:rPr>
            </w:pPr>
          </w:p>
        </w:tc>
        <w:tc>
          <w:tcPr>
            <w:tcW w:w="9178" w:type="dxa"/>
            <w:gridSpan w:val="3"/>
            <w:tcBorders>
              <w:top w:val="single" w:sz="4" w:space="0" w:color="auto"/>
              <w:left w:val="single" w:sz="4" w:space="0" w:color="auto"/>
              <w:bottom w:val="nil"/>
              <w:right w:val="single" w:sz="4" w:space="0" w:color="auto"/>
            </w:tcBorders>
            <w:shd w:val="clear" w:color="auto" w:fill="FFFFFF"/>
            <w:vAlign w:val="center"/>
          </w:tcPr>
          <w:p w:rsidR="00292FE3" w:rsidRPr="0037030A" w:rsidRDefault="0021077F" w:rsidP="00AE7A2A">
            <w:pPr>
              <w:spacing w:after="0" w:line="240" w:lineRule="auto"/>
              <w:ind w:left="28" w:right="28"/>
              <w:rPr>
                <w:rFonts w:ascii="Times New Roman" w:hAnsi="Times New Roman"/>
                <w:sz w:val="19"/>
                <w:szCs w:val="19"/>
              </w:rPr>
            </w:pPr>
            <w:r>
              <w:rPr>
                <w:rFonts w:ascii="Times New Roman" w:hAnsi="Times New Roman"/>
                <w:sz w:val="19"/>
                <w:szCs w:val="19"/>
              </w:rPr>
              <w:t xml:space="preserve"> Nie dotyczy</w:t>
            </w:r>
          </w:p>
        </w:tc>
      </w:tr>
      <w:tr w:rsidR="00292FE3" w:rsidRPr="00D46B97" w:rsidTr="0021077F">
        <w:trPr>
          <w:trHeight w:val="586"/>
        </w:trPr>
        <w:tc>
          <w:tcPr>
            <w:tcW w:w="691" w:type="dxa"/>
            <w:tcBorders>
              <w:top w:val="single" w:sz="4" w:space="0" w:color="auto"/>
              <w:left w:val="single" w:sz="4" w:space="0" w:color="auto"/>
              <w:bottom w:val="single" w:sz="4" w:space="0" w:color="auto"/>
              <w:right w:val="nil"/>
            </w:tcBorders>
            <w:shd w:val="clear" w:color="auto" w:fill="FFFFFF"/>
            <w:vAlign w:val="center"/>
          </w:tcPr>
          <w:p w:rsidR="00292FE3" w:rsidRPr="00D46B97" w:rsidRDefault="00292FE3" w:rsidP="00AE7A2A">
            <w:pPr>
              <w:pStyle w:val="Teksttreci20"/>
              <w:shd w:val="clear" w:color="auto" w:fill="auto"/>
              <w:ind w:left="84" w:right="28"/>
            </w:pPr>
            <w:r w:rsidRPr="00D46B97">
              <w:rPr>
                <w:rStyle w:val="Teksttreci29"/>
                <w:color w:val="000000"/>
              </w:rPr>
              <w:t>3.</w:t>
            </w:r>
          </w:p>
        </w:tc>
        <w:tc>
          <w:tcPr>
            <w:tcW w:w="9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2FE3" w:rsidRPr="00D46B97" w:rsidRDefault="00292FE3" w:rsidP="00EB077D">
            <w:pPr>
              <w:pStyle w:val="Teksttreci20"/>
              <w:shd w:val="clear" w:color="auto" w:fill="auto"/>
              <w:ind w:left="107" w:right="28" w:firstLine="14"/>
              <w:jc w:val="both"/>
            </w:pPr>
            <w:r w:rsidRPr="00D46B97">
              <w:rPr>
                <w:rStyle w:val="Teksttreci29"/>
                <w:color w:val="000000"/>
              </w:rPr>
              <w:t>Inne informacje niż wymienione powyżej, jeżeli mogłyby w istotny sposób wpłynąć na ocenę sytuacji majątkowej</w:t>
            </w:r>
            <w:r w:rsidR="00EB077D" w:rsidRPr="00D46B97">
              <w:rPr>
                <w:rStyle w:val="Teksttreci29"/>
                <w:color w:val="000000"/>
              </w:rPr>
              <w:br/>
            </w:r>
            <w:r w:rsidRPr="00D46B97">
              <w:rPr>
                <w:rStyle w:val="Teksttreci29"/>
                <w:color w:val="000000"/>
              </w:rPr>
              <w:t>i finansowej oraz wynik finansowy jednostki</w:t>
            </w:r>
          </w:p>
        </w:tc>
      </w:tr>
      <w:tr w:rsidR="00292FE3" w:rsidRPr="0021077F" w:rsidTr="0021077F">
        <w:trPr>
          <w:trHeight w:val="341"/>
        </w:trPr>
        <w:tc>
          <w:tcPr>
            <w:tcW w:w="691" w:type="dxa"/>
            <w:tcBorders>
              <w:top w:val="single" w:sz="4" w:space="0" w:color="auto"/>
              <w:left w:val="single" w:sz="4" w:space="0" w:color="auto"/>
              <w:bottom w:val="single" w:sz="4" w:space="0" w:color="auto"/>
              <w:right w:val="nil"/>
            </w:tcBorders>
            <w:shd w:val="clear" w:color="auto" w:fill="FFFFFF"/>
          </w:tcPr>
          <w:p w:rsidR="00292FE3" w:rsidRPr="0021077F" w:rsidRDefault="00292FE3" w:rsidP="00292FE3">
            <w:pPr>
              <w:spacing w:after="0" w:line="240" w:lineRule="auto"/>
              <w:ind w:left="28" w:right="28"/>
              <w:rPr>
                <w:rFonts w:ascii="Times New Roman" w:hAnsi="Times New Roman"/>
                <w:sz w:val="18"/>
                <w:szCs w:val="18"/>
              </w:rPr>
            </w:pPr>
          </w:p>
        </w:tc>
        <w:tc>
          <w:tcPr>
            <w:tcW w:w="9178" w:type="dxa"/>
            <w:gridSpan w:val="3"/>
            <w:tcBorders>
              <w:top w:val="single" w:sz="4" w:space="0" w:color="auto"/>
              <w:left w:val="single" w:sz="4" w:space="0" w:color="auto"/>
              <w:bottom w:val="single" w:sz="4" w:space="0" w:color="auto"/>
              <w:right w:val="single" w:sz="4" w:space="0" w:color="auto"/>
            </w:tcBorders>
            <w:shd w:val="clear" w:color="auto" w:fill="FFFFFF"/>
          </w:tcPr>
          <w:p w:rsidR="00292FE3" w:rsidRPr="0021077F" w:rsidRDefault="0021077F" w:rsidP="00292FE3">
            <w:pPr>
              <w:spacing w:after="0" w:line="240" w:lineRule="auto"/>
              <w:ind w:left="28" w:right="28"/>
              <w:rPr>
                <w:rFonts w:ascii="Times New Roman" w:hAnsi="Times New Roman"/>
                <w:sz w:val="18"/>
                <w:szCs w:val="18"/>
              </w:rPr>
            </w:pPr>
            <w:r w:rsidRPr="0021077F">
              <w:rPr>
                <w:rFonts w:ascii="Times New Roman" w:hAnsi="Times New Roman"/>
                <w:sz w:val="18"/>
                <w:szCs w:val="18"/>
              </w:rPr>
              <w:t xml:space="preserve"> Nie dotyczy </w:t>
            </w:r>
          </w:p>
        </w:tc>
      </w:tr>
      <w:tr w:rsidR="00292FE3" w:rsidRPr="00D46B97" w:rsidTr="0021077F">
        <w:trPr>
          <w:trHeight w:val="1085"/>
        </w:trPr>
        <w:tc>
          <w:tcPr>
            <w:tcW w:w="2707" w:type="dxa"/>
            <w:gridSpan w:val="2"/>
            <w:tcBorders>
              <w:top w:val="single" w:sz="4" w:space="0" w:color="auto"/>
              <w:bottom w:val="nil"/>
            </w:tcBorders>
            <w:shd w:val="clear" w:color="auto" w:fill="FFFFFF"/>
            <w:vAlign w:val="bottom"/>
          </w:tcPr>
          <w:p w:rsidR="00292FE3" w:rsidRPr="00CA6954" w:rsidRDefault="00CA6954" w:rsidP="00CA6954">
            <w:pPr>
              <w:spacing w:after="0" w:line="240" w:lineRule="auto"/>
              <w:ind w:left="28" w:right="313"/>
              <w:rPr>
                <w:sz w:val="24"/>
                <w:szCs w:val="24"/>
              </w:rPr>
            </w:pPr>
            <w:r>
              <w:rPr>
                <w:sz w:val="24"/>
                <w:szCs w:val="24"/>
              </w:rPr>
              <w:t xml:space="preserve">       Sławomir Kijak</w:t>
            </w:r>
          </w:p>
        </w:tc>
        <w:tc>
          <w:tcPr>
            <w:tcW w:w="4243" w:type="dxa"/>
            <w:tcBorders>
              <w:top w:val="single" w:sz="4" w:space="0" w:color="auto"/>
              <w:bottom w:val="nil"/>
            </w:tcBorders>
            <w:shd w:val="clear" w:color="auto" w:fill="FFFFFF"/>
            <w:vAlign w:val="bottom"/>
          </w:tcPr>
          <w:p w:rsidR="00292FE3" w:rsidRPr="0021077F" w:rsidRDefault="0021077F" w:rsidP="00F70F95">
            <w:pPr>
              <w:spacing w:after="0" w:line="240" w:lineRule="auto"/>
              <w:ind w:left="28" w:right="28"/>
              <w:jc w:val="center"/>
              <w:rPr>
                <w:rFonts w:ascii="Times New Roman" w:hAnsi="Times New Roman"/>
                <w:sz w:val="20"/>
                <w:szCs w:val="20"/>
              </w:rPr>
            </w:pPr>
            <w:r w:rsidRPr="0021077F">
              <w:rPr>
                <w:rFonts w:ascii="Times New Roman" w:hAnsi="Times New Roman"/>
                <w:sz w:val="20"/>
                <w:szCs w:val="20"/>
              </w:rPr>
              <w:t>20</w:t>
            </w:r>
            <w:r w:rsidR="00B25F19">
              <w:rPr>
                <w:rFonts w:ascii="Times New Roman" w:hAnsi="Times New Roman"/>
                <w:sz w:val="20"/>
                <w:szCs w:val="20"/>
              </w:rPr>
              <w:t>2</w:t>
            </w:r>
            <w:r w:rsidR="008471B0">
              <w:rPr>
                <w:rFonts w:ascii="Times New Roman" w:hAnsi="Times New Roman"/>
                <w:sz w:val="20"/>
                <w:szCs w:val="20"/>
              </w:rPr>
              <w:t>4</w:t>
            </w:r>
            <w:r w:rsidRPr="0021077F">
              <w:rPr>
                <w:rFonts w:ascii="Times New Roman" w:hAnsi="Times New Roman"/>
                <w:sz w:val="20"/>
                <w:szCs w:val="20"/>
              </w:rPr>
              <w:t>-03-</w:t>
            </w:r>
            <w:r w:rsidR="00C71DAD">
              <w:rPr>
                <w:rFonts w:ascii="Times New Roman" w:hAnsi="Times New Roman"/>
                <w:sz w:val="20"/>
                <w:szCs w:val="20"/>
              </w:rPr>
              <w:t>29</w:t>
            </w:r>
          </w:p>
        </w:tc>
        <w:tc>
          <w:tcPr>
            <w:tcW w:w="2919" w:type="dxa"/>
            <w:tcBorders>
              <w:top w:val="single" w:sz="4" w:space="0" w:color="auto"/>
              <w:bottom w:val="nil"/>
            </w:tcBorders>
            <w:shd w:val="clear" w:color="auto" w:fill="FFFFFF"/>
            <w:vAlign w:val="bottom"/>
          </w:tcPr>
          <w:p w:rsidR="00292FE3" w:rsidRPr="00CA6954" w:rsidRDefault="00CA6954" w:rsidP="005136B7">
            <w:pPr>
              <w:spacing w:after="0" w:line="240" w:lineRule="auto"/>
              <w:ind w:left="245" w:right="-28"/>
              <w:jc w:val="center"/>
              <w:rPr>
                <w:sz w:val="24"/>
                <w:szCs w:val="24"/>
              </w:rPr>
            </w:pPr>
            <w:r w:rsidRPr="00CA6954">
              <w:rPr>
                <w:sz w:val="24"/>
                <w:szCs w:val="24"/>
              </w:rPr>
              <w:t>Krzysztof Kow</w:t>
            </w:r>
            <w:r>
              <w:rPr>
                <w:sz w:val="24"/>
                <w:szCs w:val="24"/>
              </w:rPr>
              <w:t>alski</w:t>
            </w:r>
          </w:p>
        </w:tc>
      </w:tr>
      <w:tr w:rsidR="00292FE3" w:rsidRPr="00D46B97" w:rsidTr="0021077F">
        <w:trPr>
          <w:trHeight w:val="538"/>
        </w:trPr>
        <w:tc>
          <w:tcPr>
            <w:tcW w:w="2707" w:type="dxa"/>
            <w:gridSpan w:val="2"/>
            <w:shd w:val="clear" w:color="auto" w:fill="FFFFFF"/>
          </w:tcPr>
          <w:p w:rsidR="00292FE3" w:rsidRPr="00D46B97" w:rsidRDefault="00292FE3" w:rsidP="004C67B1">
            <w:pPr>
              <w:pStyle w:val="Teksttreci20"/>
              <w:shd w:val="clear" w:color="auto" w:fill="auto"/>
              <w:ind w:left="28" w:right="28" w:firstLine="336"/>
            </w:pPr>
            <w:r w:rsidRPr="00D46B97">
              <w:rPr>
                <w:rStyle w:val="Teksttreci29"/>
                <w:color w:val="000000"/>
              </w:rPr>
              <w:t>(główny księgowy)</w:t>
            </w:r>
          </w:p>
        </w:tc>
        <w:tc>
          <w:tcPr>
            <w:tcW w:w="4243" w:type="dxa"/>
            <w:shd w:val="clear" w:color="auto" w:fill="FFFFFF"/>
          </w:tcPr>
          <w:p w:rsidR="00292FE3" w:rsidRPr="00D46B97" w:rsidRDefault="00292FE3" w:rsidP="004C67B1">
            <w:pPr>
              <w:pStyle w:val="Teksttreci20"/>
              <w:shd w:val="clear" w:color="auto" w:fill="auto"/>
              <w:ind w:left="28" w:right="28" w:firstLine="1213"/>
            </w:pPr>
            <w:r w:rsidRPr="00D46B97">
              <w:rPr>
                <w:rStyle w:val="Teksttreci29"/>
                <w:color w:val="000000"/>
              </w:rPr>
              <w:t>(rok, miesiąc, dzień)</w:t>
            </w:r>
          </w:p>
        </w:tc>
        <w:tc>
          <w:tcPr>
            <w:tcW w:w="2919" w:type="dxa"/>
            <w:shd w:val="clear" w:color="auto" w:fill="FFFFFF"/>
          </w:tcPr>
          <w:p w:rsidR="00292FE3" w:rsidRPr="00D46B97" w:rsidRDefault="00292FE3" w:rsidP="004C67B1">
            <w:pPr>
              <w:pStyle w:val="Teksttreci20"/>
              <w:shd w:val="clear" w:color="auto" w:fill="auto"/>
              <w:ind w:left="28" w:right="28" w:firstLine="847"/>
            </w:pPr>
            <w:r w:rsidRPr="00D46B97">
              <w:rPr>
                <w:rStyle w:val="Teksttreci29"/>
                <w:color w:val="000000"/>
              </w:rPr>
              <w:t>(kierownik jednostki)</w:t>
            </w:r>
          </w:p>
        </w:tc>
      </w:tr>
    </w:tbl>
    <w:p w:rsidR="00292FE3" w:rsidRPr="00D46B97" w:rsidRDefault="00292FE3" w:rsidP="00CA6954">
      <w:pPr>
        <w:spacing w:after="0" w:line="240" w:lineRule="auto"/>
        <w:ind w:right="28"/>
        <w:rPr>
          <w:sz w:val="2"/>
          <w:szCs w:val="2"/>
        </w:rPr>
      </w:pPr>
    </w:p>
    <w:p w:rsidR="002253EE" w:rsidRPr="00D46B97" w:rsidRDefault="002253EE" w:rsidP="00292FE3">
      <w:pPr>
        <w:spacing w:after="0" w:line="240" w:lineRule="auto"/>
        <w:ind w:left="28" w:right="28"/>
      </w:pPr>
      <w:bookmarkStart w:id="0" w:name="_GoBack"/>
      <w:bookmarkEnd w:id="0"/>
    </w:p>
    <w:sectPr w:rsidR="002253EE" w:rsidRPr="00D46B97">
      <w:headerReference w:type="default" r:id="rId7"/>
      <w:pgSz w:w="11909" w:h="16840"/>
      <w:pgMar w:top="1415" w:right="1020" w:bottom="1168" w:left="1020"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A3" w:rsidRDefault="00973EA3" w:rsidP="003479FE">
      <w:pPr>
        <w:spacing w:after="0" w:line="240" w:lineRule="auto"/>
      </w:pPr>
      <w:r>
        <w:separator/>
      </w:r>
    </w:p>
  </w:endnote>
  <w:endnote w:type="continuationSeparator" w:id="0">
    <w:p w:rsidR="00973EA3" w:rsidRDefault="00973EA3"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A3" w:rsidRDefault="00973EA3" w:rsidP="003479FE">
      <w:pPr>
        <w:spacing w:after="0" w:line="240" w:lineRule="auto"/>
      </w:pPr>
      <w:r>
        <w:separator/>
      </w:r>
    </w:p>
  </w:footnote>
  <w:footnote w:type="continuationSeparator" w:id="0">
    <w:p w:rsidR="00973EA3" w:rsidRDefault="00973EA3" w:rsidP="0034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271219"/>
      <w:docPartObj>
        <w:docPartGallery w:val="Page Numbers (Top of Page)"/>
        <w:docPartUnique/>
      </w:docPartObj>
    </w:sdtPr>
    <w:sdtEndPr/>
    <w:sdtContent>
      <w:p w:rsidR="003479FE" w:rsidRDefault="003479FE">
        <w:pPr>
          <w:pStyle w:val="Nagwek"/>
          <w:jc w:val="right"/>
        </w:pPr>
        <w:r>
          <w:fldChar w:fldCharType="begin"/>
        </w:r>
        <w:r>
          <w:instrText>PAGE   \* MERGEFORMAT</w:instrText>
        </w:r>
        <w:r>
          <w:fldChar w:fldCharType="separate"/>
        </w:r>
        <w:r>
          <w:t>2</w:t>
        </w:r>
        <w:r>
          <w:fldChar w:fldCharType="end"/>
        </w:r>
      </w:p>
    </w:sdtContent>
  </w:sdt>
  <w:p w:rsidR="003479FE" w:rsidRDefault="003479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490E"/>
    <w:multiLevelType w:val="hybridMultilevel"/>
    <w:tmpl w:val="F51239B8"/>
    <w:lvl w:ilvl="0" w:tplc="F7E6C452">
      <w:start w:val="1"/>
      <w:numFmt w:val="decimal"/>
      <w:lvlText w:val="%1)"/>
      <w:lvlJc w:val="left"/>
      <w:pPr>
        <w:ind w:left="1201" w:hanging="360"/>
      </w:pPr>
      <w:rPr>
        <w:rFonts w:cs="Times New Roman" w:hint="default"/>
      </w:rPr>
    </w:lvl>
    <w:lvl w:ilvl="1" w:tplc="04150019" w:tentative="1">
      <w:start w:val="1"/>
      <w:numFmt w:val="lowerLetter"/>
      <w:lvlText w:val="%2."/>
      <w:lvlJc w:val="left"/>
      <w:pPr>
        <w:ind w:left="1921" w:hanging="360"/>
      </w:pPr>
      <w:rPr>
        <w:rFonts w:cs="Times New Roman"/>
      </w:rPr>
    </w:lvl>
    <w:lvl w:ilvl="2" w:tplc="0415001B" w:tentative="1">
      <w:start w:val="1"/>
      <w:numFmt w:val="lowerRoman"/>
      <w:lvlText w:val="%3."/>
      <w:lvlJc w:val="right"/>
      <w:pPr>
        <w:ind w:left="2641" w:hanging="180"/>
      </w:pPr>
      <w:rPr>
        <w:rFonts w:cs="Times New Roman"/>
      </w:rPr>
    </w:lvl>
    <w:lvl w:ilvl="3" w:tplc="0415000F" w:tentative="1">
      <w:start w:val="1"/>
      <w:numFmt w:val="decimal"/>
      <w:lvlText w:val="%4."/>
      <w:lvlJc w:val="left"/>
      <w:pPr>
        <w:ind w:left="3361" w:hanging="360"/>
      </w:pPr>
      <w:rPr>
        <w:rFonts w:cs="Times New Roman"/>
      </w:rPr>
    </w:lvl>
    <w:lvl w:ilvl="4" w:tplc="04150019" w:tentative="1">
      <w:start w:val="1"/>
      <w:numFmt w:val="lowerLetter"/>
      <w:lvlText w:val="%5."/>
      <w:lvlJc w:val="left"/>
      <w:pPr>
        <w:ind w:left="4081" w:hanging="360"/>
      </w:pPr>
      <w:rPr>
        <w:rFonts w:cs="Times New Roman"/>
      </w:rPr>
    </w:lvl>
    <w:lvl w:ilvl="5" w:tplc="0415001B" w:tentative="1">
      <w:start w:val="1"/>
      <w:numFmt w:val="lowerRoman"/>
      <w:lvlText w:val="%6."/>
      <w:lvlJc w:val="right"/>
      <w:pPr>
        <w:ind w:left="4801" w:hanging="180"/>
      </w:pPr>
      <w:rPr>
        <w:rFonts w:cs="Times New Roman"/>
      </w:rPr>
    </w:lvl>
    <w:lvl w:ilvl="6" w:tplc="0415000F" w:tentative="1">
      <w:start w:val="1"/>
      <w:numFmt w:val="decimal"/>
      <w:lvlText w:val="%7."/>
      <w:lvlJc w:val="left"/>
      <w:pPr>
        <w:ind w:left="5521" w:hanging="360"/>
      </w:pPr>
      <w:rPr>
        <w:rFonts w:cs="Times New Roman"/>
      </w:rPr>
    </w:lvl>
    <w:lvl w:ilvl="7" w:tplc="04150019" w:tentative="1">
      <w:start w:val="1"/>
      <w:numFmt w:val="lowerLetter"/>
      <w:lvlText w:val="%8."/>
      <w:lvlJc w:val="left"/>
      <w:pPr>
        <w:ind w:left="6241" w:hanging="360"/>
      </w:pPr>
      <w:rPr>
        <w:rFonts w:cs="Times New Roman"/>
      </w:rPr>
    </w:lvl>
    <w:lvl w:ilvl="8" w:tplc="0415001B" w:tentative="1">
      <w:start w:val="1"/>
      <w:numFmt w:val="lowerRoman"/>
      <w:lvlText w:val="%9."/>
      <w:lvlJc w:val="right"/>
      <w:pPr>
        <w:ind w:left="6961" w:hanging="180"/>
      </w:pPr>
      <w:rPr>
        <w:rFonts w:cs="Times New Roman"/>
      </w:rPr>
    </w:lvl>
  </w:abstractNum>
  <w:abstractNum w:abstractNumId="1" w15:restartNumberingAfterBreak="0">
    <w:nsid w:val="4A0A2198"/>
    <w:multiLevelType w:val="hybridMultilevel"/>
    <w:tmpl w:val="60480990"/>
    <w:lvl w:ilvl="0" w:tplc="8DD6EACE">
      <w:start w:val="1"/>
      <w:numFmt w:val="lowerLetter"/>
      <w:lvlText w:val="%1)"/>
      <w:lvlJc w:val="left"/>
      <w:pPr>
        <w:ind w:left="841" w:hanging="360"/>
      </w:pPr>
      <w:rPr>
        <w:rFonts w:cs="Times New Roman" w:hint="default"/>
      </w:rPr>
    </w:lvl>
    <w:lvl w:ilvl="1" w:tplc="04150019" w:tentative="1">
      <w:start w:val="1"/>
      <w:numFmt w:val="lowerLetter"/>
      <w:lvlText w:val="%2."/>
      <w:lvlJc w:val="left"/>
      <w:pPr>
        <w:ind w:left="1561" w:hanging="360"/>
      </w:pPr>
      <w:rPr>
        <w:rFonts w:cs="Times New Roman"/>
      </w:rPr>
    </w:lvl>
    <w:lvl w:ilvl="2" w:tplc="0415001B" w:tentative="1">
      <w:start w:val="1"/>
      <w:numFmt w:val="lowerRoman"/>
      <w:lvlText w:val="%3."/>
      <w:lvlJc w:val="right"/>
      <w:pPr>
        <w:ind w:left="2281" w:hanging="180"/>
      </w:pPr>
      <w:rPr>
        <w:rFonts w:cs="Times New Roman"/>
      </w:rPr>
    </w:lvl>
    <w:lvl w:ilvl="3" w:tplc="0415000F" w:tentative="1">
      <w:start w:val="1"/>
      <w:numFmt w:val="decimal"/>
      <w:lvlText w:val="%4."/>
      <w:lvlJc w:val="left"/>
      <w:pPr>
        <w:ind w:left="3001" w:hanging="360"/>
      </w:pPr>
      <w:rPr>
        <w:rFonts w:cs="Times New Roman"/>
      </w:rPr>
    </w:lvl>
    <w:lvl w:ilvl="4" w:tplc="04150019" w:tentative="1">
      <w:start w:val="1"/>
      <w:numFmt w:val="lowerLetter"/>
      <w:lvlText w:val="%5."/>
      <w:lvlJc w:val="left"/>
      <w:pPr>
        <w:ind w:left="3721" w:hanging="360"/>
      </w:pPr>
      <w:rPr>
        <w:rFonts w:cs="Times New Roman"/>
      </w:rPr>
    </w:lvl>
    <w:lvl w:ilvl="5" w:tplc="0415001B" w:tentative="1">
      <w:start w:val="1"/>
      <w:numFmt w:val="lowerRoman"/>
      <w:lvlText w:val="%6."/>
      <w:lvlJc w:val="right"/>
      <w:pPr>
        <w:ind w:left="4441" w:hanging="180"/>
      </w:pPr>
      <w:rPr>
        <w:rFonts w:cs="Times New Roman"/>
      </w:rPr>
    </w:lvl>
    <w:lvl w:ilvl="6" w:tplc="0415000F" w:tentative="1">
      <w:start w:val="1"/>
      <w:numFmt w:val="decimal"/>
      <w:lvlText w:val="%7."/>
      <w:lvlJc w:val="left"/>
      <w:pPr>
        <w:ind w:left="5161" w:hanging="360"/>
      </w:pPr>
      <w:rPr>
        <w:rFonts w:cs="Times New Roman"/>
      </w:rPr>
    </w:lvl>
    <w:lvl w:ilvl="7" w:tplc="04150019" w:tentative="1">
      <w:start w:val="1"/>
      <w:numFmt w:val="lowerLetter"/>
      <w:lvlText w:val="%8."/>
      <w:lvlJc w:val="left"/>
      <w:pPr>
        <w:ind w:left="5881" w:hanging="360"/>
      </w:pPr>
      <w:rPr>
        <w:rFonts w:cs="Times New Roman"/>
      </w:rPr>
    </w:lvl>
    <w:lvl w:ilvl="8" w:tplc="0415001B" w:tentative="1">
      <w:start w:val="1"/>
      <w:numFmt w:val="lowerRoman"/>
      <w:lvlText w:val="%9."/>
      <w:lvlJc w:val="right"/>
      <w:pPr>
        <w:ind w:left="6601" w:hanging="180"/>
      </w:pPr>
      <w:rPr>
        <w:rFonts w:cs="Times New Roman"/>
      </w:rPr>
    </w:lvl>
  </w:abstractNum>
  <w:abstractNum w:abstractNumId="2" w15:restartNumberingAfterBreak="0">
    <w:nsid w:val="4D9E66FB"/>
    <w:multiLevelType w:val="hybridMultilevel"/>
    <w:tmpl w:val="4DDC583A"/>
    <w:lvl w:ilvl="0" w:tplc="E5709DF6">
      <w:start w:val="1"/>
      <w:numFmt w:val="decimal"/>
      <w:lvlText w:val="%1)"/>
      <w:lvlJc w:val="left"/>
      <w:pPr>
        <w:ind w:left="481" w:hanging="360"/>
      </w:pPr>
      <w:rPr>
        <w:rFonts w:cs="Times New Roman" w:hint="default"/>
      </w:rPr>
    </w:lvl>
    <w:lvl w:ilvl="1" w:tplc="04150019" w:tentative="1">
      <w:start w:val="1"/>
      <w:numFmt w:val="lowerLetter"/>
      <w:lvlText w:val="%2."/>
      <w:lvlJc w:val="left"/>
      <w:pPr>
        <w:ind w:left="1201" w:hanging="360"/>
      </w:pPr>
      <w:rPr>
        <w:rFonts w:cs="Times New Roman"/>
      </w:rPr>
    </w:lvl>
    <w:lvl w:ilvl="2" w:tplc="0415001B" w:tentative="1">
      <w:start w:val="1"/>
      <w:numFmt w:val="lowerRoman"/>
      <w:lvlText w:val="%3."/>
      <w:lvlJc w:val="right"/>
      <w:pPr>
        <w:ind w:left="1921" w:hanging="180"/>
      </w:pPr>
      <w:rPr>
        <w:rFonts w:cs="Times New Roman"/>
      </w:rPr>
    </w:lvl>
    <w:lvl w:ilvl="3" w:tplc="0415000F" w:tentative="1">
      <w:start w:val="1"/>
      <w:numFmt w:val="decimal"/>
      <w:lvlText w:val="%4."/>
      <w:lvlJc w:val="left"/>
      <w:pPr>
        <w:ind w:left="2641" w:hanging="360"/>
      </w:pPr>
      <w:rPr>
        <w:rFonts w:cs="Times New Roman"/>
      </w:rPr>
    </w:lvl>
    <w:lvl w:ilvl="4" w:tplc="04150019" w:tentative="1">
      <w:start w:val="1"/>
      <w:numFmt w:val="lowerLetter"/>
      <w:lvlText w:val="%5."/>
      <w:lvlJc w:val="left"/>
      <w:pPr>
        <w:ind w:left="3361" w:hanging="360"/>
      </w:pPr>
      <w:rPr>
        <w:rFonts w:cs="Times New Roman"/>
      </w:rPr>
    </w:lvl>
    <w:lvl w:ilvl="5" w:tplc="0415001B" w:tentative="1">
      <w:start w:val="1"/>
      <w:numFmt w:val="lowerRoman"/>
      <w:lvlText w:val="%6."/>
      <w:lvlJc w:val="right"/>
      <w:pPr>
        <w:ind w:left="4081" w:hanging="180"/>
      </w:pPr>
      <w:rPr>
        <w:rFonts w:cs="Times New Roman"/>
      </w:rPr>
    </w:lvl>
    <w:lvl w:ilvl="6" w:tplc="0415000F" w:tentative="1">
      <w:start w:val="1"/>
      <w:numFmt w:val="decimal"/>
      <w:lvlText w:val="%7."/>
      <w:lvlJc w:val="left"/>
      <w:pPr>
        <w:ind w:left="4801" w:hanging="360"/>
      </w:pPr>
      <w:rPr>
        <w:rFonts w:cs="Times New Roman"/>
      </w:rPr>
    </w:lvl>
    <w:lvl w:ilvl="7" w:tplc="04150019" w:tentative="1">
      <w:start w:val="1"/>
      <w:numFmt w:val="lowerLetter"/>
      <w:lvlText w:val="%8."/>
      <w:lvlJc w:val="left"/>
      <w:pPr>
        <w:ind w:left="5521" w:hanging="360"/>
      </w:pPr>
      <w:rPr>
        <w:rFonts w:cs="Times New Roman"/>
      </w:rPr>
    </w:lvl>
    <w:lvl w:ilvl="8" w:tplc="0415001B" w:tentative="1">
      <w:start w:val="1"/>
      <w:numFmt w:val="lowerRoman"/>
      <w:lvlText w:val="%9."/>
      <w:lvlJc w:val="right"/>
      <w:pPr>
        <w:ind w:left="6241" w:hanging="180"/>
      </w:pPr>
      <w:rPr>
        <w:rFonts w:cs="Times New Roman"/>
      </w:rPr>
    </w:lvl>
  </w:abstractNum>
  <w:abstractNum w:abstractNumId="3" w15:restartNumberingAfterBreak="0">
    <w:nsid w:val="4EA96DF2"/>
    <w:multiLevelType w:val="hybridMultilevel"/>
    <w:tmpl w:val="4D24C658"/>
    <w:lvl w:ilvl="0" w:tplc="A0CAF2CE">
      <w:start w:val="1"/>
      <w:numFmt w:val="decimal"/>
      <w:lvlText w:val="%1."/>
      <w:lvlJc w:val="left"/>
      <w:pPr>
        <w:ind w:left="481" w:hanging="360"/>
      </w:pPr>
      <w:rPr>
        <w:rFonts w:cs="Times New Roman" w:hint="default"/>
      </w:rPr>
    </w:lvl>
    <w:lvl w:ilvl="1" w:tplc="04150019" w:tentative="1">
      <w:start w:val="1"/>
      <w:numFmt w:val="lowerLetter"/>
      <w:lvlText w:val="%2."/>
      <w:lvlJc w:val="left"/>
      <w:pPr>
        <w:ind w:left="1201" w:hanging="360"/>
      </w:pPr>
      <w:rPr>
        <w:rFonts w:cs="Times New Roman"/>
      </w:rPr>
    </w:lvl>
    <w:lvl w:ilvl="2" w:tplc="0415001B" w:tentative="1">
      <w:start w:val="1"/>
      <w:numFmt w:val="lowerRoman"/>
      <w:lvlText w:val="%3."/>
      <w:lvlJc w:val="right"/>
      <w:pPr>
        <w:ind w:left="1921" w:hanging="180"/>
      </w:pPr>
      <w:rPr>
        <w:rFonts w:cs="Times New Roman"/>
      </w:rPr>
    </w:lvl>
    <w:lvl w:ilvl="3" w:tplc="0415000F" w:tentative="1">
      <w:start w:val="1"/>
      <w:numFmt w:val="decimal"/>
      <w:lvlText w:val="%4."/>
      <w:lvlJc w:val="left"/>
      <w:pPr>
        <w:ind w:left="2641" w:hanging="360"/>
      </w:pPr>
      <w:rPr>
        <w:rFonts w:cs="Times New Roman"/>
      </w:rPr>
    </w:lvl>
    <w:lvl w:ilvl="4" w:tplc="04150019" w:tentative="1">
      <w:start w:val="1"/>
      <w:numFmt w:val="lowerLetter"/>
      <w:lvlText w:val="%5."/>
      <w:lvlJc w:val="left"/>
      <w:pPr>
        <w:ind w:left="3361" w:hanging="360"/>
      </w:pPr>
      <w:rPr>
        <w:rFonts w:cs="Times New Roman"/>
      </w:rPr>
    </w:lvl>
    <w:lvl w:ilvl="5" w:tplc="0415001B" w:tentative="1">
      <w:start w:val="1"/>
      <w:numFmt w:val="lowerRoman"/>
      <w:lvlText w:val="%6."/>
      <w:lvlJc w:val="right"/>
      <w:pPr>
        <w:ind w:left="4081" w:hanging="180"/>
      </w:pPr>
      <w:rPr>
        <w:rFonts w:cs="Times New Roman"/>
      </w:rPr>
    </w:lvl>
    <w:lvl w:ilvl="6" w:tplc="0415000F" w:tentative="1">
      <w:start w:val="1"/>
      <w:numFmt w:val="decimal"/>
      <w:lvlText w:val="%7."/>
      <w:lvlJc w:val="left"/>
      <w:pPr>
        <w:ind w:left="4801" w:hanging="360"/>
      </w:pPr>
      <w:rPr>
        <w:rFonts w:cs="Times New Roman"/>
      </w:rPr>
    </w:lvl>
    <w:lvl w:ilvl="7" w:tplc="04150019" w:tentative="1">
      <w:start w:val="1"/>
      <w:numFmt w:val="lowerLetter"/>
      <w:lvlText w:val="%8."/>
      <w:lvlJc w:val="left"/>
      <w:pPr>
        <w:ind w:left="5521" w:hanging="360"/>
      </w:pPr>
      <w:rPr>
        <w:rFonts w:cs="Times New Roman"/>
      </w:rPr>
    </w:lvl>
    <w:lvl w:ilvl="8" w:tplc="0415001B" w:tentative="1">
      <w:start w:val="1"/>
      <w:numFmt w:val="lowerRoman"/>
      <w:lvlText w:val="%9."/>
      <w:lvlJc w:val="right"/>
      <w:pPr>
        <w:ind w:left="6241" w:hanging="180"/>
      </w:pPr>
      <w:rPr>
        <w:rFonts w:cs="Times New Roman"/>
      </w:rPr>
    </w:lvl>
  </w:abstractNum>
  <w:abstractNum w:abstractNumId="4" w15:restartNumberingAfterBreak="0">
    <w:nsid w:val="6EBC0403"/>
    <w:multiLevelType w:val="hybridMultilevel"/>
    <w:tmpl w:val="C8BC79C2"/>
    <w:lvl w:ilvl="0" w:tplc="61706194">
      <w:start w:val="1"/>
      <w:numFmt w:val="decimal"/>
      <w:lvlText w:val="%1)"/>
      <w:lvlJc w:val="left"/>
      <w:pPr>
        <w:ind w:left="481" w:hanging="360"/>
      </w:pPr>
      <w:rPr>
        <w:rFonts w:cs="Times New Roman" w:hint="default"/>
      </w:rPr>
    </w:lvl>
    <w:lvl w:ilvl="1" w:tplc="04150019" w:tentative="1">
      <w:start w:val="1"/>
      <w:numFmt w:val="lowerLetter"/>
      <w:lvlText w:val="%2."/>
      <w:lvlJc w:val="left"/>
      <w:pPr>
        <w:ind w:left="1201" w:hanging="360"/>
      </w:pPr>
      <w:rPr>
        <w:rFonts w:cs="Times New Roman"/>
      </w:rPr>
    </w:lvl>
    <w:lvl w:ilvl="2" w:tplc="0415001B" w:tentative="1">
      <w:start w:val="1"/>
      <w:numFmt w:val="lowerRoman"/>
      <w:lvlText w:val="%3."/>
      <w:lvlJc w:val="right"/>
      <w:pPr>
        <w:ind w:left="1921" w:hanging="180"/>
      </w:pPr>
      <w:rPr>
        <w:rFonts w:cs="Times New Roman"/>
      </w:rPr>
    </w:lvl>
    <w:lvl w:ilvl="3" w:tplc="0415000F" w:tentative="1">
      <w:start w:val="1"/>
      <w:numFmt w:val="decimal"/>
      <w:lvlText w:val="%4."/>
      <w:lvlJc w:val="left"/>
      <w:pPr>
        <w:ind w:left="2641" w:hanging="360"/>
      </w:pPr>
      <w:rPr>
        <w:rFonts w:cs="Times New Roman"/>
      </w:rPr>
    </w:lvl>
    <w:lvl w:ilvl="4" w:tplc="04150019" w:tentative="1">
      <w:start w:val="1"/>
      <w:numFmt w:val="lowerLetter"/>
      <w:lvlText w:val="%5."/>
      <w:lvlJc w:val="left"/>
      <w:pPr>
        <w:ind w:left="3361" w:hanging="360"/>
      </w:pPr>
      <w:rPr>
        <w:rFonts w:cs="Times New Roman"/>
      </w:rPr>
    </w:lvl>
    <w:lvl w:ilvl="5" w:tplc="0415001B" w:tentative="1">
      <w:start w:val="1"/>
      <w:numFmt w:val="lowerRoman"/>
      <w:lvlText w:val="%6."/>
      <w:lvlJc w:val="right"/>
      <w:pPr>
        <w:ind w:left="4081" w:hanging="180"/>
      </w:pPr>
      <w:rPr>
        <w:rFonts w:cs="Times New Roman"/>
      </w:rPr>
    </w:lvl>
    <w:lvl w:ilvl="6" w:tplc="0415000F" w:tentative="1">
      <w:start w:val="1"/>
      <w:numFmt w:val="decimal"/>
      <w:lvlText w:val="%7."/>
      <w:lvlJc w:val="left"/>
      <w:pPr>
        <w:ind w:left="4801" w:hanging="360"/>
      </w:pPr>
      <w:rPr>
        <w:rFonts w:cs="Times New Roman"/>
      </w:rPr>
    </w:lvl>
    <w:lvl w:ilvl="7" w:tplc="04150019" w:tentative="1">
      <w:start w:val="1"/>
      <w:numFmt w:val="lowerLetter"/>
      <w:lvlText w:val="%8."/>
      <w:lvlJc w:val="left"/>
      <w:pPr>
        <w:ind w:left="5521" w:hanging="360"/>
      </w:pPr>
      <w:rPr>
        <w:rFonts w:cs="Times New Roman"/>
      </w:rPr>
    </w:lvl>
    <w:lvl w:ilvl="8" w:tplc="0415001B" w:tentative="1">
      <w:start w:val="1"/>
      <w:numFmt w:val="lowerRoman"/>
      <w:lvlText w:val="%9."/>
      <w:lvlJc w:val="right"/>
      <w:pPr>
        <w:ind w:left="624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E3"/>
    <w:rsid w:val="00010BCF"/>
    <w:rsid w:val="00026EFF"/>
    <w:rsid w:val="00027806"/>
    <w:rsid w:val="000909F7"/>
    <w:rsid w:val="000A621C"/>
    <w:rsid w:val="000B763D"/>
    <w:rsid w:val="000D3A08"/>
    <w:rsid w:val="000E07DF"/>
    <w:rsid w:val="000E454C"/>
    <w:rsid w:val="000E4C50"/>
    <w:rsid w:val="00151B94"/>
    <w:rsid w:val="00164504"/>
    <w:rsid w:val="00183B6F"/>
    <w:rsid w:val="00193BFF"/>
    <w:rsid w:val="001B3889"/>
    <w:rsid w:val="001E0F8D"/>
    <w:rsid w:val="001F2E53"/>
    <w:rsid w:val="001F3969"/>
    <w:rsid w:val="0021077F"/>
    <w:rsid w:val="002253EE"/>
    <w:rsid w:val="00225AF0"/>
    <w:rsid w:val="00251A4F"/>
    <w:rsid w:val="0025205E"/>
    <w:rsid w:val="00252E6E"/>
    <w:rsid w:val="002674A8"/>
    <w:rsid w:val="00283489"/>
    <w:rsid w:val="00292FE3"/>
    <w:rsid w:val="002B7F08"/>
    <w:rsid w:val="002C33E4"/>
    <w:rsid w:val="002F7F63"/>
    <w:rsid w:val="00301EFB"/>
    <w:rsid w:val="003134F6"/>
    <w:rsid w:val="00323F82"/>
    <w:rsid w:val="003448DF"/>
    <w:rsid w:val="003479FE"/>
    <w:rsid w:val="0037030A"/>
    <w:rsid w:val="003973A9"/>
    <w:rsid w:val="003A5976"/>
    <w:rsid w:val="00404813"/>
    <w:rsid w:val="00410847"/>
    <w:rsid w:val="00451110"/>
    <w:rsid w:val="004B05E3"/>
    <w:rsid w:val="004C67B1"/>
    <w:rsid w:val="004D60C1"/>
    <w:rsid w:val="004F46CA"/>
    <w:rsid w:val="0051024F"/>
    <w:rsid w:val="005136B7"/>
    <w:rsid w:val="005201FE"/>
    <w:rsid w:val="0053365A"/>
    <w:rsid w:val="00535DFA"/>
    <w:rsid w:val="00543383"/>
    <w:rsid w:val="00553B25"/>
    <w:rsid w:val="00572FCB"/>
    <w:rsid w:val="00590375"/>
    <w:rsid w:val="005C7E01"/>
    <w:rsid w:val="005D2C8E"/>
    <w:rsid w:val="005E7D8A"/>
    <w:rsid w:val="00605BF6"/>
    <w:rsid w:val="00616810"/>
    <w:rsid w:val="00623BC9"/>
    <w:rsid w:val="0064206E"/>
    <w:rsid w:val="00652FD8"/>
    <w:rsid w:val="00653DF7"/>
    <w:rsid w:val="00662C73"/>
    <w:rsid w:val="006666FB"/>
    <w:rsid w:val="006813AF"/>
    <w:rsid w:val="006A2EA4"/>
    <w:rsid w:val="006B2F3C"/>
    <w:rsid w:val="006C05D8"/>
    <w:rsid w:val="006D2368"/>
    <w:rsid w:val="006E1F92"/>
    <w:rsid w:val="006F601A"/>
    <w:rsid w:val="0071274A"/>
    <w:rsid w:val="00744746"/>
    <w:rsid w:val="00760C76"/>
    <w:rsid w:val="00774A2F"/>
    <w:rsid w:val="00781614"/>
    <w:rsid w:val="0078680B"/>
    <w:rsid w:val="00795C2C"/>
    <w:rsid w:val="007A19B4"/>
    <w:rsid w:val="007C3D0A"/>
    <w:rsid w:val="007C5BAB"/>
    <w:rsid w:val="007C7EB6"/>
    <w:rsid w:val="007D3957"/>
    <w:rsid w:val="007E20D3"/>
    <w:rsid w:val="0081194F"/>
    <w:rsid w:val="00812905"/>
    <w:rsid w:val="008171A1"/>
    <w:rsid w:val="008277D4"/>
    <w:rsid w:val="00835A39"/>
    <w:rsid w:val="008471B0"/>
    <w:rsid w:val="00893A62"/>
    <w:rsid w:val="008B4955"/>
    <w:rsid w:val="008E4C0D"/>
    <w:rsid w:val="009006FC"/>
    <w:rsid w:val="00914F29"/>
    <w:rsid w:val="00957895"/>
    <w:rsid w:val="00962C4D"/>
    <w:rsid w:val="00973EA3"/>
    <w:rsid w:val="009C742F"/>
    <w:rsid w:val="009D2E85"/>
    <w:rsid w:val="009E3B18"/>
    <w:rsid w:val="009E77DC"/>
    <w:rsid w:val="009F54A8"/>
    <w:rsid w:val="00A1614D"/>
    <w:rsid w:val="00A20592"/>
    <w:rsid w:val="00A2111F"/>
    <w:rsid w:val="00A34D8D"/>
    <w:rsid w:val="00A9226B"/>
    <w:rsid w:val="00A97CC8"/>
    <w:rsid w:val="00AA65B7"/>
    <w:rsid w:val="00AE7A2A"/>
    <w:rsid w:val="00B01488"/>
    <w:rsid w:val="00B16B3C"/>
    <w:rsid w:val="00B25F19"/>
    <w:rsid w:val="00B369C0"/>
    <w:rsid w:val="00B53899"/>
    <w:rsid w:val="00B7012E"/>
    <w:rsid w:val="00B85A72"/>
    <w:rsid w:val="00BD6870"/>
    <w:rsid w:val="00BE2F30"/>
    <w:rsid w:val="00BE6255"/>
    <w:rsid w:val="00BF47E3"/>
    <w:rsid w:val="00C312F8"/>
    <w:rsid w:val="00C71DAD"/>
    <w:rsid w:val="00C72FF1"/>
    <w:rsid w:val="00C73729"/>
    <w:rsid w:val="00CA6954"/>
    <w:rsid w:val="00CE0053"/>
    <w:rsid w:val="00CE573E"/>
    <w:rsid w:val="00CE7908"/>
    <w:rsid w:val="00CF2020"/>
    <w:rsid w:val="00D05288"/>
    <w:rsid w:val="00D15A30"/>
    <w:rsid w:val="00D42C12"/>
    <w:rsid w:val="00D46B97"/>
    <w:rsid w:val="00DA41B5"/>
    <w:rsid w:val="00DE7D6D"/>
    <w:rsid w:val="00E007B1"/>
    <w:rsid w:val="00E03F97"/>
    <w:rsid w:val="00E13B47"/>
    <w:rsid w:val="00E62D78"/>
    <w:rsid w:val="00E669DE"/>
    <w:rsid w:val="00E749C4"/>
    <w:rsid w:val="00E83562"/>
    <w:rsid w:val="00E84ED1"/>
    <w:rsid w:val="00EA5F7D"/>
    <w:rsid w:val="00EB077D"/>
    <w:rsid w:val="00EB39E4"/>
    <w:rsid w:val="00EB465D"/>
    <w:rsid w:val="00EB545C"/>
    <w:rsid w:val="00ED7E31"/>
    <w:rsid w:val="00F05122"/>
    <w:rsid w:val="00F058E7"/>
    <w:rsid w:val="00F1727F"/>
    <w:rsid w:val="00F172DC"/>
    <w:rsid w:val="00F20567"/>
    <w:rsid w:val="00F51E09"/>
    <w:rsid w:val="00F64A1A"/>
    <w:rsid w:val="00F70F95"/>
    <w:rsid w:val="00F76A4A"/>
    <w:rsid w:val="00FE47FB"/>
    <w:rsid w:val="00FE6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4B89D"/>
  <w14:defaultImageDpi w14:val="0"/>
  <w15:docId w15:val="{AE6DA493-CC64-4B71-AD20-73144168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292FE3"/>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292FE3"/>
    <w:rPr>
      <w:rFonts w:ascii="Times New Roman" w:hAnsi="Times New Roman" w:cs="Times New Roman"/>
      <w:sz w:val="19"/>
      <w:szCs w:val="19"/>
      <w:shd w:val="clear" w:color="auto" w:fill="FFFFFF"/>
    </w:rPr>
  </w:style>
  <w:style w:type="character" w:styleId="Pogrubienie">
    <w:name w:val="Strong"/>
    <w:aliases w:val="Tekst treści (2) + 91,5 pt1"/>
    <w:basedOn w:val="Teksttreci2"/>
    <w:uiPriority w:val="99"/>
    <w:qFormat/>
    <w:rsid w:val="00292FE3"/>
    <w:rPr>
      <w:rFonts w:ascii="Times New Roman" w:hAnsi="Times New Roman" w:cs="Times New Roman"/>
      <w:b/>
      <w:bCs/>
      <w:sz w:val="19"/>
      <w:szCs w:val="19"/>
      <w:shd w:val="clear" w:color="auto" w:fill="FFFFFF"/>
    </w:rPr>
  </w:style>
  <w:style w:type="paragraph" w:customStyle="1" w:styleId="Teksttreci20">
    <w:name w:val="Tekst treści (2)"/>
    <w:basedOn w:val="Normalny"/>
    <w:link w:val="Teksttreci2"/>
    <w:uiPriority w:val="99"/>
    <w:rsid w:val="00292FE3"/>
    <w:pPr>
      <w:widowControl w:val="0"/>
      <w:shd w:val="clear" w:color="auto" w:fill="FFFFFF"/>
      <w:spacing w:after="0" w:line="240" w:lineRule="auto"/>
    </w:pPr>
    <w:rPr>
      <w:rFonts w:ascii="Times New Roman" w:hAnsi="Times New Roman"/>
      <w:sz w:val="20"/>
      <w:szCs w:val="20"/>
    </w:rPr>
  </w:style>
  <w:style w:type="character" w:styleId="Hipercze">
    <w:name w:val="Hyperlink"/>
    <w:basedOn w:val="Domylnaczcionkaakapitu"/>
    <w:uiPriority w:val="99"/>
    <w:semiHidden/>
    <w:unhideWhenUsed/>
    <w:rsid w:val="00781614"/>
    <w:rPr>
      <w:rFonts w:cs="Times New Roman"/>
      <w:color w:val="FF0000"/>
      <w:u w:val="single" w:color="FF0000"/>
    </w:rPr>
  </w:style>
  <w:style w:type="paragraph" w:styleId="Tekstdymka">
    <w:name w:val="Balloon Text"/>
    <w:basedOn w:val="Normalny"/>
    <w:link w:val="TekstdymkaZnak"/>
    <w:uiPriority w:val="99"/>
    <w:semiHidden/>
    <w:unhideWhenUsed/>
    <w:rsid w:val="00D46B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46B97"/>
    <w:rPr>
      <w:rFonts w:ascii="Tahoma" w:hAnsi="Tahoma" w:cs="Tahoma"/>
      <w:sz w:val="16"/>
      <w:szCs w:val="16"/>
    </w:rPr>
  </w:style>
  <w:style w:type="paragraph" w:styleId="Akapitzlist">
    <w:name w:val="List Paragraph"/>
    <w:basedOn w:val="Normalny"/>
    <w:uiPriority w:val="34"/>
    <w:qFormat/>
    <w:rsid w:val="00451110"/>
    <w:pPr>
      <w:ind w:left="720"/>
      <w:contextualSpacing/>
    </w:pPr>
  </w:style>
  <w:style w:type="paragraph" w:styleId="Nagwek">
    <w:name w:val="header"/>
    <w:basedOn w:val="Normalny"/>
    <w:link w:val="NagwekZnak"/>
    <w:uiPriority w:val="99"/>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9FE"/>
    <w:rPr>
      <w:rFonts w:cs="Times New Roman"/>
    </w:rPr>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1789</Words>
  <Characters>10736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Anna.Soczowka</dc:creator>
  <dc:description>ZNAKI:4278</dc:description>
  <cp:lastModifiedBy>Barbara Kłos</cp:lastModifiedBy>
  <cp:revision>2</cp:revision>
  <cp:lastPrinted>2024-03-29T09:57:00Z</cp:lastPrinted>
  <dcterms:created xsi:type="dcterms:W3CDTF">2024-05-10T13:14:00Z</dcterms:created>
  <dcterms:modified xsi:type="dcterms:W3CDTF">2024-05-10T13:14:00Z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4278</vt:lpwstr>
  </property>
  <property fmtid="{D5CDD505-2E9C-101B-9397-08002B2CF9AE}" pid="4" name="ZNAKI:">
    <vt:lpwstr>4278</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2019-02-11 12:15:15</vt:lpwstr>
  </property>
</Properties>
</file>