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240453" w:rsidRPr="007247DD" w:rsidRDefault="00240453" w:rsidP="00E34297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E34297" w:rsidRPr="00E34297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 xml:space="preserve">Konserwacja systemu oświetlenia ulicznego w Ostrowcu Świętokrzyskim w okresie od 01 stycznia 2024 roku </w:t>
      </w:r>
      <w:bookmarkStart w:id="1" w:name="_GoBack"/>
      <w:bookmarkEnd w:id="1"/>
      <w:r w:rsidR="00E34297" w:rsidRPr="00E34297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do 31 grudnia 2026 roku</w:t>
      </w: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4297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08EB989-E340-418B-A768-14F6B737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856A-D434-4618-9889-74B763AD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2022-07-13T08:19:00Z</cp:lastPrinted>
  <dcterms:created xsi:type="dcterms:W3CDTF">2023-11-03T10:30:00Z</dcterms:created>
  <dcterms:modified xsi:type="dcterms:W3CDTF">2023-11-03T10:30:00Z</dcterms:modified>
</cp:coreProperties>
</file>