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spacing w:lineRule="auto" w:line="360"/>
        <w:ind w:left="708" w:right="0" w:hanging="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OŚWIADCZENIE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/>
      </w:pPr>
      <w:r>
        <w:rPr>
          <w:i/>
          <w:sz w:val="22"/>
          <w:szCs w:val="22"/>
        </w:rPr>
        <w:t xml:space="preserve">Na podstawie art. 34 </w:t>
      </w:r>
      <w:r>
        <w:rPr>
          <w:i/>
          <w:iCs/>
          <w:sz w:val="22"/>
          <w:szCs w:val="22"/>
        </w:rPr>
        <w:t>Ustawy z dnia 7 lipca 1994 r. Prawo budowlane</w:t>
      </w:r>
      <w:r>
        <w:rPr>
          <w:i/>
          <w:sz w:val="22"/>
          <w:szCs w:val="22"/>
        </w:rPr>
        <w:t xml:space="preserve"> z późniejszymi zmianami</w:t>
      </w:r>
      <w:r>
        <w:rPr>
          <w:i/>
          <w:lang w:val="pl-PL" w:eastAsia="pl-PL"/>
        </w:rPr>
        <w:t xml:space="preserve"> </w:t>
      </w:r>
      <w:r>
        <w:rPr>
          <w:i/>
          <w:sz w:val="22"/>
          <w:szCs w:val="22"/>
        </w:rPr>
        <w:t>oświadczam, iż niniejsza dokumentacja projektowa została sporządzona zgodnie z obowiązującymi przepisami oraz zasadami wiedzy technicznej, jest w swoim zakresie kompletna oraz spełnia wymagania dla celu, któremu ma służyć.</w:t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/>
      </w:pP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Kwiecień</w:t>
      </w:r>
      <w:r>
        <w:rPr>
          <w:i/>
          <w:sz w:val="22"/>
          <w:szCs w:val="22"/>
        </w:rPr>
        <w:t>, 202</w:t>
      </w: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3</w:t>
      </w:r>
      <w:r>
        <w:rPr>
          <w:i/>
          <w:sz w:val="22"/>
          <w:szCs w:val="22"/>
        </w:rPr>
        <w:t xml:space="preserve"> r.</w:t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TOAHeading"/>
        <w:jc w:val="center"/>
        <w:rPr/>
      </w:pPr>
      <w:r>
        <w:rPr>
          <w:sz w:val="24"/>
          <w:szCs w:val="24"/>
        </w:rPr>
        <w:t>Spis treści</w:t>
      </w:r>
    </w:p>
    <w:p>
      <w:pPr>
        <w:pStyle w:val="Spistreci1"/>
        <w:tabs>
          <w:tab w:val="clear" w:pos="709"/>
          <w:tab w:val="right" w:pos="9483" w:leader="dot"/>
        </w:tabs>
        <w:rPr/>
      </w:pPr>
      <w:r>
        <w:fldChar w:fldCharType="begin"/>
      </w:r>
      <w:r>
        <w:rPr>
          <w:rStyle w:val="Czeindeksu"/>
        </w:rPr>
        <w:instrText> TOC \f \o "1-9" \h</w:instrText>
      </w:r>
      <w:r>
        <w:rPr>
          <w:rStyle w:val="Czeindeksu"/>
        </w:rPr>
        <w:fldChar w:fldCharType="separate"/>
      </w:r>
      <w:hyperlink w:anchor="__RefHeading___Toc413_2367410010">
        <w:r>
          <w:rPr>
            <w:rStyle w:val="Czeindeksu"/>
          </w:rPr>
          <w:t>PROJEKT ZAGOSPODAROWANIA TERENU</w:t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8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PRZEDMIOT INWESTYCJI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9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INWESTOR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0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PODSTAWA OPRACOWANIA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1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>ISTNIEJĄCY STAN ZAGOSPODAROWANIA DZIAŁKI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2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>PROJEKTOWANE ZAGOSPODAROWANIE DZIAŁKI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3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>DANE INFORMUJĄCE O WPISIE TERENU DO REJESTRU ZABYTKÓW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4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>DANE OKREŚLAJĄCE WPŁYW EKSPLOATACJI GÓRNICZEJ NA TEREN OBJĘTY INWESTYCJĄ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5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>INFORMACJA O CHARAKTERZE I CECHACH ISTNIEJĄCYCH I PRZEWIDYWANYCH ZAGROŻEŃ DLA ŚRODOWISKA ORAZ HIGIENY I ZDROWIA UŻYTKOWNIKÓW</w:t>
        </w:r>
        <w:r>
          <w:rPr>
            <w:rStyle w:val="Czeindeksu"/>
          </w:rPr>
          <w:tab/>
          <w:t>9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6">
        <w:r>
          <w:rPr>
            <w:rStyle w:val="Czeindeksu"/>
          </w:rPr>
          <w:t xml:space="preserve">9. </w:t>
        </w:r>
        <w:r>
          <w:rPr>
            <w:rStyle w:val="Czeindeksu"/>
            <w:i w:val="false"/>
            <w:iCs w:val="false"/>
          </w:rPr>
          <w:t>UWAGI KOŃCOWE</w:t>
        </w:r>
        <w:r>
          <w:rPr>
            <w:rStyle w:val="Czeindeksu"/>
          </w:rPr>
          <w:tab/>
          <w:t>9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7">
        <w:r>
          <w:rPr>
            <w:rStyle w:val="Czeindeksu"/>
          </w:rPr>
          <w:t xml:space="preserve"> </w:t>
        </w:r>
        <w:r>
          <w:rPr>
            <w:rStyle w:val="Czeindeksu"/>
          </w:rPr>
          <w:t>ZAGOSPODAROWANIA TERENU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8">
        <w:r>
          <w:rPr>
            <w:rStyle w:val="Czeindeksu"/>
          </w:rPr>
          <w:t>CZĘŚĆ RYSUNKOWA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0_1339427135">
        <w:r>
          <w:rPr>
            <w:rStyle w:val="Czeindeksu"/>
          </w:rPr>
          <w:t>1. Plan orientacyjny (rys. nr 1).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2_1339427135">
        <w:r>
          <w:rPr>
            <w:rStyle w:val="Czeindeksu"/>
          </w:rPr>
          <w:t>2. Plan sytuacyjny (rys. nr 2).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5_2367410010">
        <w:r>
          <w:rPr>
            <w:rStyle w:val="Czeindeksu"/>
          </w:rPr>
          <w:t xml:space="preserve"> </w:t>
        </w:r>
        <w:r>
          <w:rPr>
            <w:rStyle w:val="Czeindeksu"/>
          </w:rPr>
          <w:t>INFORMACJA DOTYCZĄCA PLANU BEZPIECZEŃSTWA I OCHRONY ZDROWIA</w:t>
          <w:tab/>
          <w:t>13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7_2367410010">
        <w:r>
          <w:rPr>
            <w:rStyle w:val="Czeindeksu"/>
          </w:rPr>
          <w:t>PROJEKT ARCHITEKTONICZNO-BUDOWLANY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19_2367410010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 xml:space="preserve"> PRZEZNACZENIE I PROGRAM UŻYTKOWY OBIEKTU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2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 xml:space="preserve"> FORMA ARCHITEKTONICZNA I FUNKCJA OBIEKTU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1786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 xml:space="preserve"> UKŁAD KONSTRUKCYJNY PRZEBUDOWYWANYCH OBIEKTÓW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4">
        <w:r>
          <w:rPr>
            <w:rStyle w:val="Czeindeksu"/>
            <w:i w:val="false"/>
            <w:iCs w:val="false"/>
          </w:rPr>
          <w:t>ROZWIĄZANIA BUDOWLANE I TECHNICZNO-INSTALACYJNE ORAZ ROZWIĄZANIA TECHNICZNO-BUDOWLANE W MIEJSCACH CHARAKTERYSTYCZNYCH.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5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 xml:space="preserve"> ROZWIĄZANIA ZASADNICZYCH ELEMENTÓW WYPOSAŻENIA BUDOWLANO-INSTALACYJNEGO.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6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 xml:space="preserve"> ROZWIĄZANIA I SPOSÓB FUNKCJONOWANIA ZASADNICZYCH URZĄDZEŃ INSTALACJI TECHNICZNYCH.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7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 xml:space="preserve"> DANE TECHNICZNE OBIEKTU CHARAKTERYZUJĄCE JEGO WPŁYW NA ŚRODOWISKO, ZDROWIE LUDZI I OBIEKTY SĄSIEDNIE.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8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 xml:space="preserve"> WARUNKI OCHRONY PRZECIWPOŻAROWEJ.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21_2367410010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 xml:space="preserve"> UWAGI OGÓLNE.</w:t>
        </w:r>
        <w:r>
          <w:rPr>
            <w:rStyle w:val="Czeindeksu"/>
          </w:rPr>
          <w:tab/>
          <w:t>17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30">
        <w:r>
          <w:rPr>
            <w:rStyle w:val="Czeindeksu"/>
          </w:rPr>
          <w:t>CZĘŚĆ RYSUNKOWA</w:t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4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Szczegóły konstrukcyjne (rys. nr 3).</w:t>
        </w:r>
        <w:r>
          <w:rPr>
            <w:rStyle w:val="Czeindeksu"/>
          </w:rPr>
          <w:tab/>
          <w:t>18</w:t>
        </w:r>
      </w:hyperlink>
      <w:r>
        <w:rPr>
          <w:rStyle w:val="Czeindeksu"/>
        </w:rPr>
        <w:fldChar w:fldCharType="end"/>
      </w:r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6065520" cy="7248525"/>
            <wp:effectExtent l="0" t="0" r="0" b="0"/>
            <wp:docPr id="1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304" t="-208" r="-304" b="8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sz w:val="28"/>
          <w:szCs w:val="28"/>
        </w:rPr>
      </w:pPr>
      <w:r>
        <w:rPr/>
        <w:drawing>
          <wp:inline distT="0" distB="0" distL="0" distR="0">
            <wp:extent cx="6065520" cy="8539480"/>
            <wp:effectExtent l="0" t="0" r="0" b="0"/>
            <wp:docPr id="2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-304" t="-215" r="-304" b="-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151765</wp:posOffset>
            </wp:positionH>
            <wp:positionV relativeFrom="paragraph">
              <wp:posOffset>196215</wp:posOffset>
            </wp:positionV>
            <wp:extent cx="5791835" cy="8454390"/>
            <wp:effectExtent l="0" t="0" r="0" b="0"/>
            <wp:wrapSquare wrapText="largest"/>
            <wp:docPr id="3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845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rPr/>
      </w:pPr>
      <w:bookmarkStart w:id="0" w:name="__RefHeading___Toc413_2367410010"/>
      <w:bookmarkEnd w:id="0"/>
      <w:r>
        <w:rPr>
          <w:rStyle w:val="Mocnowyrniony"/>
          <w:rFonts w:cs="Times New Roman" w:ascii="Times New Roman" w:hAnsi="Times New Roman"/>
          <w:sz w:val="24"/>
          <w:szCs w:val="24"/>
        </w:rPr>
        <w:t>PROJEKT ZAGOSPODAROWANIA TERENU</w:t>
      </w:r>
    </w:p>
    <w:p>
      <w:pPr>
        <w:pStyle w:val="Normal"/>
        <w:rPr/>
      </w:pPr>
      <w:r>
        <w:rPr/>
      </w:r>
    </w:p>
    <w:p>
      <w:pPr>
        <w:pStyle w:val="Normal"/>
        <w:spacing w:lineRule="exact" w:line="280"/>
        <w:jc w:val="center"/>
        <w:rPr/>
      </w:pP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4"/>
          <w:szCs w:val="24"/>
        </w:rPr>
        <w:t>CZĘŚĆ OPISOWA</w:t>
      </w:r>
    </w:p>
    <w:p>
      <w:pPr>
        <w:pStyle w:val="Normal"/>
        <w:spacing w:lineRule="exact" w:line="280"/>
        <w:jc w:val="center"/>
        <w:rPr/>
      </w:pPr>
      <w:r>
        <w:rPr/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" w:name="__RefHeading___Toc75861308"/>
      <w:bookmarkEnd w:id="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PRZEDMIOT INWESTYCJI</w:t>
      </w:r>
    </w:p>
    <w:p>
      <w:pPr>
        <w:pStyle w:val="Akapitzlist"/>
        <w:spacing w:lineRule="exact" w:line="280"/>
        <w:ind w:left="0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Przedmiotem opracowania jest uproszczona dokumentacja budowlano-wykonawcza na potrzeby inwestycji pn. 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,</w:t>
      </w:r>
      <w:r>
        <w:rPr>
          <w:rStyle w:val="Domylnaczcionkaakapitu"/>
          <w:rFonts w:eastAsia="Calibri" w:cs="Arial"/>
          <w:b w:val="false"/>
          <w:bCs w:val="false"/>
          <w:i/>
          <w:iCs/>
          <w:color w:val="000000"/>
          <w:kern w:val="0"/>
          <w:sz w:val="24"/>
          <w:szCs w:val="24"/>
          <w:lang w:val="pl-PL" w:eastAsia="pl-PL" w:bidi="ar-SA"/>
        </w:rPr>
        <w:t>,Opracowanie dokumentacji projektowych zwiększających dostępność osobom ze szczególnymi potrzebami w pasach drogowych ulic, których zarządcą jest Gmina Ostrowiec Świętokrzyski’’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  - skrzyżowanie ulic: </w:t>
      </w:r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Wspólnej i </w:t>
      </w:r>
      <w:bookmarkStart w:id="2" w:name="__DdeLink__1784_2437009330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M.Dąbrowskiej</w:t>
      </w:r>
      <w:bookmarkEnd w:id="2"/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Zakres w/w inwestycji ogranicza się do wykonania przebudowy istniejącej infrastruktury pieszej (chodników i przejść dla pieszych) w obrębie skrzyżowania ulic </w:t>
      </w:r>
      <w:r>
        <w:rPr>
          <w:kern w:val="0"/>
          <w:sz w:val="24"/>
          <w:szCs w:val="24"/>
          <w:lang w:eastAsia="pl-PL"/>
        </w:rPr>
        <w:t xml:space="preserve">Wspólnej i </w:t>
      </w:r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M.Dąbrowskiej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/>
      </w:pPr>
      <w:r>
        <w:rPr>
          <w:sz w:val="24"/>
          <w:szCs w:val="24"/>
        </w:rPr>
        <w:t>Lokalizacja inwestycji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Pas drogowy – działki nr ewidencyjny:  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Style w:val="Domylnaczcionkaakapitu5"/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11.3-103/5</w:t>
      </w:r>
      <w:r>
        <w:rPr>
          <w:rStyle w:val="Domylnaczcionkaakapitu5"/>
          <w:rFonts w:eastAsia="Times New Roman" w:cs="Times New Roman" w:ascii="Times New Roman" w:hAnsi="Times New Roman"/>
          <w:sz w:val="24"/>
          <w:szCs w:val="24"/>
        </w:rPr>
        <w:t>, 11.2-105/1, 14.4-137/3, 11.3-205, 14.4-70/3, 14.4-71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Style w:val="Domylnaczcionkaakapitu5"/>
          <w:rFonts w:eastAsia="Times New Roman" w:cs="Times New Roman" w:ascii="Times New Roman" w:hAnsi="Times New Roman"/>
          <w:sz w:val="24"/>
          <w:szCs w:val="24"/>
        </w:rPr>
        <w:t xml:space="preserve">oraz działka nr ew: </w:t>
      </w:r>
      <w:r>
        <w:rPr>
          <w:rStyle w:val="Domylnaczcionkaakapitu5"/>
          <w:rFonts w:eastAsia="Times New Roman" w:cs="Times New Roman" w:ascii="Times New Roman" w:hAnsi="Times New Roman"/>
          <w:sz w:val="24"/>
          <w:szCs w:val="24"/>
        </w:rPr>
        <w:t>11.2-105/5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   </w:t>
        <w:br/>
        <w:t>woj. świętokrzyskie, powiat ostrowiecki, gmina Ostrowiec Świętokrzyski.</w:t>
        <w:br/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Arial" w:cs="Times New Roman" w:ascii="Times New Roman" w:hAnsi="Times New Roman"/>
          <w:sz w:val="24"/>
          <w:szCs w:val="24"/>
        </w:rPr>
        <w:t>Lokalizacja przedmiotowej inwestycji przedstawiona została na rysunku nr 1 pn. „Plan orientacyjny”.</w:t>
      </w:r>
    </w:p>
    <w:p>
      <w:pPr>
        <w:pStyle w:val="Akapitzlist"/>
        <w:spacing w:lineRule="exact" w:line="280"/>
        <w:ind w:left="284" w:right="0" w:hanging="0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3" w:name="__RefHeading___Toc75861309"/>
      <w:bookmarkEnd w:id="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INWESTOR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pacing w:lineRule="exact" w:line="280"/>
        <w:ind w:right="0" w:hanging="0"/>
        <w:rPr>
          <w:b/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Urząd Miasta Ostrowiec Świętokrzyski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ul. J. Głogowskiego 3/5, 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27-400 Ostrowiec Świętokrzyski</w:t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>
      <w:pPr>
        <w:pStyle w:val="Nagwek2"/>
        <w:numPr>
          <w:ilvl w:val="1"/>
          <w:numId w:val="4"/>
        </w:numPr>
        <w:rPr>
          <w:i w:val="false"/>
          <w:i w:val="false"/>
          <w:iCs w:val="false"/>
          <w:sz w:val="22"/>
          <w:szCs w:val="22"/>
        </w:rPr>
      </w:pPr>
      <w:bookmarkStart w:id="4" w:name="__RefHeading___Toc75861310"/>
      <w:bookmarkEnd w:id="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PODSTAWA OPRACOWANIA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>Podstawą opracowania jest:</w:t>
      </w:r>
    </w:p>
    <w:p>
      <w:pPr>
        <w:pStyle w:val="Akapitzlist"/>
        <w:numPr>
          <w:ilvl w:val="0"/>
          <w:numId w:val="6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Umowa z Inwestorem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Rozporządzenie Ministra Infrastruktury z dnia 24 czerwca 2022r w sprawie przepisów techniczno-budowlanych dotyczących dróg publicznych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Mapa mapa zasadnicza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Inwentaryzacja własna w terenie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Pozostałe związane akty prawne, normatywy, wytyczne.</w:t>
      </w:r>
    </w:p>
    <w:p>
      <w:pPr>
        <w:pStyle w:val="Akapitzlist"/>
        <w:numPr>
          <w:ilvl w:val="0"/>
          <w:numId w:val="0"/>
        </w:numPr>
        <w:tabs>
          <w:tab w:val="clear" w:pos="709"/>
          <w:tab w:val="left" w:pos="510" w:leader="none"/>
        </w:tabs>
        <w:spacing w:lineRule="exact" w:line="280"/>
        <w:ind w:left="1717" w:right="0" w:hanging="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5" w:name="__RefHeading___Toc75861311"/>
      <w:bookmarkEnd w:id="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ISTNIEJĄCY STAN ZAGOSPODAROWANIA DZIAŁKI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Przedmiotowe skrzyżowanie zlokalizowane jest na działkach nr ew. </w:t>
      </w:r>
      <w:r>
        <w:rPr>
          <w:rStyle w:val="Domylnaczcionkaakapitu5"/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11.3-103/5, 11.2-105/1, 14.4-137/3, 11.3-205, 14.4-70/3, 14.4-71,</w:t>
      </w:r>
      <w:r>
        <w:rPr>
          <w:rFonts w:cs="Times New Roman" w:ascii="Times New Roman" w:hAnsi="Times New Roman"/>
          <w:sz w:val="24"/>
          <w:szCs w:val="24"/>
        </w:rPr>
        <w:t xml:space="preserve"> które stanowią własność Inwestora. </w:t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Odnośnie działki nr ew  </w:t>
      </w:r>
      <w:r>
        <w:rPr>
          <w:rStyle w:val="Domylnaczcionkaakapitu5"/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11.2-105/5 – Inwestor dysponuje prawem do dysponowania nieruchomością na potrzeby realizacji przedmiotowej inwestycji.</w:t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b/>
          <w:sz w:val="24"/>
          <w:szCs w:val="24"/>
        </w:rPr>
        <w:t>Parametry techniczne istniejącej drogi: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W stanie istniejącym, ulice </w:t>
      </w:r>
      <w:r>
        <w:rPr>
          <w:rFonts w:cs="Times New Roman" w:ascii="Times New Roman" w:hAnsi="Times New Roman"/>
          <w:color w:val="auto"/>
          <w:sz w:val="24"/>
          <w:szCs w:val="24"/>
        </w:rPr>
        <w:t>Wspólna</w:t>
      </w:r>
      <w:r>
        <w:rPr>
          <w:rFonts w:cs="Times New Roman" w:ascii="Times New Roman" w:hAnsi="Times New Roman"/>
          <w:color w:val="auto"/>
          <w:sz w:val="24"/>
          <w:szCs w:val="24"/>
        </w:rPr>
        <w:t xml:space="preserve"> oraz </w:t>
      </w:r>
      <w:r>
        <w:rPr>
          <w:rStyle w:val="Domylnaczcionkaakapitu"/>
          <w:rFonts w:eastAsia="Calibri" w:cs="Times New Roman" w:ascii="Times New Roman" w:hAnsi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M.Dąbrowskiej</w:t>
      </w:r>
      <w:r>
        <w:rPr>
          <w:rFonts w:cs="Times New Roman" w:ascii="Times New Roman" w:hAnsi="Times New Roman"/>
          <w:color w:val="auto"/>
          <w:sz w:val="24"/>
          <w:szCs w:val="24"/>
        </w:rPr>
        <w:t xml:space="preserve"> posiadają przekrój uliczny </w:t>
        <w:br/>
        <w:t>z jezdniami bitumicznymi wydzielonymi krawężnikami oraz chodniki z kostki betonowej.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Na każdym z kierunków funkcjonują istniejące przejścia dla pieszych. </w:t>
        <w:br/>
        <w:t xml:space="preserve">W rejonie przejść dla pieszych nie wszystkie krawężniki posiadają odpowiednie zaniżenie, </w:t>
        <w:br/>
        <w:t xml:space="preserve">co zostaje skorygowane niniejszym opracowaniem. 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Ulica posiada odwodnienie za pomocą kanalizacji deszczowej oraz oświetlenie. </w:t>
      </w:r>
    </w:p>
    <w:p>
      <w:pPr>
        <w:pStyle w:val="Standard"/>
        <w:numPr>
          <w:ilvl w:val="0"/>
          <w:numId w:val="0"/>
        </w:numPr>
        <w:bidi w:val="0"/>
        <w:spacing w:lineRule="auto" w:line="360" w:before="0" w:after="0"/>
        <w:ind w:left="720" w:right="0" w:hanging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cs="Times New Roman" w:ascii="Times New Roman" w:hAnsi="Times New Roman"/>
          <w:color w:val="auto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6" w:name="__RefHeading___Toc75861312"/>
      <w:bookmarkEnd w:id="6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PROJEKTOWANE ZAGOSPODAROWANIE DZIAŁKI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auto" w:line="276"/>
        <w:ind w:left="0" w:right="0" w:hanging="0"/>
        <w:jc w:val="both"/>
        <w:rPr/>
      </w:pPr>
      <w:r>
        <w:rPr>
          <w:sz w:val="24"/>
          <w:szCs w:val="24"/>
        </w:rPr>
        <w:t xml:space="preserve">Przedmiotowa inwestycja przewiduje wykonanie robót budowlanych </w:t>
      </w: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  <w:t xml:space="preserve">w ciągu ulicy </w:t>
      </w: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  <w:t>Wspólnej</w:t>
      </w: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  <w:t xml:space="preserve"> oraz ulicy </w:t>
      </w:r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M.Dąbrowskiej:</w:t>
      </w:r>
    </w:p>
    <w:p>
      <w:pPr>
        <w:pStyle w:val="Akapitzlist"/>
        <w:spacing w:lineRule="auto" w:line="276"/>
        <w:ind w:left="0" w:right="0" w:hanging="0"/>
        <w:jc w:val="both"/>
        <w:rPr>
          <w:rStyle w:val="Domylnaczcionkaakapitu"/>
          <w:rFonts w:eastAsia="Calibri" w:cs="Times New Roman"/>
          <w:b w:val="false"/>
          <w:b w:val="false"/>
          <w:bCs w:val="false"/>
          <w:i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</w:pPr>
      <w:r>
        <w:rPr/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projektuje się obniżenie krawężników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(na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projektuje się nawierzchnie ostrzegawcze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 xml:space="preserve">dla pieszych 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(kostki z wypustkami, 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zaplanowano ustawienie urządzeń doświetlających.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Szczegóły w/w rozwiązań przedstawiono na rysunku konstrukcyjnym oraz na planie sytuacyjnym.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Akapitzlist"/>
        <w:spacing w:lineRule="exact" w:line="320"/>
        <w:ind w:left="0" w:right="0" w:hanging="0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</w:r>
    </w:p>
    <w:p>
      <w:pPr>
        <w:pStyle w:val="Akapitzlist"/>
        <w:spacing w:lineRule="exact" w:line="280"/>
        <w:ind w:left="720" w:right="0" w:hanging="0"/>
        <w:rPr/>
      </w:pPr>
      <w:r>
        <w:rPr>
          <w:b/>
          <w:bCs/>
          <w:sz w:val="24"/>
          <w:szCs w:val="24"/>
        </w:rPr>
        <w:t>ZESTAWIENIE POWIERZCHNI POSZCZEGÓLNYCH CZĘŚCI ZAGOSPODAROWANIA TERENU:</w:t>
      </w:r>
    </w:p>
    <w:p>
      <w:pPr>
        <w:pStyle w:val="Akapitzlist"/>
        <w:spacing w:lineRule="exact" w:line="280"/>
        <w:ind w:left="426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tbl>
      <w:tblPr>
        <w:tblW w:w="946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7662"/>
        <w:gridCol w:w="1740"/>
        <w:gridCol w:w="25"/>
        <w:gridCol w:w="39"/>
      </w:tblGrid>
      <w:tr>
        <w:trPr>
          <w:trHeight w:val="358" w:hRule="atLeast"/>
        </w:trPr>
        <w:tc>
          <w:tcPr>
            <w:tcW w:w="94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ind w:left="0" w:right="0" w:firstLine="426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ZESTAWIENIE POWIERZCHNI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</w:tr>
      <w:tr>
        <w:trPr>
          <w:trHeight w:val="258" w:hRule="atLeast"/>
        </w:trPr>
        <w:tc>
          <w:tcPr>
            <w:tcW w:w="7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Powierzchnia nawierzchni objętych robotami </w:t>
              <w:br/>
              <w:t>(naw. chodnikowe w rejonie przejść dla pieszych - kostka betonowa)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ok. </w:t>
            </w:r>
            <w:r>
              <w:rPr>
                <w:rFonts w:eastAsia="Calibri" w:cs="Times New Roman" w:ascii="Times New Roman" w:hAnsi="Times New Roman"/>
                <w:i/>
                <w:iCs/>
                <w:color w:val="auto"/>
                <w:kern w:val="2"/>
                <w:sz w:val="24"/>
                <w:szCs w:val="24"/>
                <w:lang w:val="pl-PL" w:eastAsia="zh-CN" w:bidi="ar-SA"/>
              </w:rPr>
              <w:t>40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[m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]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</w:tr>
    </w:tbl>
    <w:p>
      <w:pPr>
        <w:pStyle w:val="Akapitzlist"/>
        <w:spacing w:lineRule="exact" w:line="280"/>
        <w:ind w:left="426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7" w:name="__RefHeading___Toc75861313"/>
      <w:bookmarkEnd w:id="7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INFORMUJĄCE O WPISIE TERENU DO REJESTRU ZABYTKÓW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Teren znajduje się poza strefą ochrony konserwatorskiej.</w:t>
      </w:r>
    </w:p>
    <w:p>
      <w:pPr>
        <w:pStyle w:val="Akapitzlist"/>
        <w:spacing w:lineRule="exact" w:line="28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tabs>
          <w:tab w:val="clear" w:pos="709"/>
          <w:tab w:val="left" w:pos="426" w:leader="none"/>
        </w:tabs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8" w:name="__RefHeading___Toc75861314"/>
      <w:bookmarkEnd w:id="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DANE OKREŚLAJĄCE WPŁYW EKSPLOATACJI GÓRNICZEJ NA TEREN </w:t>
        <w:tab/>
        <w:t>OBJĘTY   INWESTYCJĄ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rPr>
          <w:sz w:val="24"/>
          <w:szCs w:val="24"/>
        </w:rPr>
      </w:pPr>
      <w:r>
        <w:rPr>
          <w:sz w:val="24"/>
          <w:szCs w:val="24"/>
        </w:rPr>
        <w:t>Inwestycja nie znajduje się na terenach górniczych.</w:t>
      </w:r>
    </w:p>
    <w:p>
      <w:pPr>
        <w:pStyle w:val="Nagwek2"/>
        <w:numPr>
          <w:ilvl w:val="1"/>
          <w:numId w:val="4"/>
        </w:numPr>
        <w:ind w:left="426" w:right="0" w:hanging="426"/>
        <w:rPr>
          <w:i w:val="false"/>
          <w:i w:val="false"/>
          <w:iCs w:val="false"/>
          <w:sz w:val="24"/>
          <w:szCs w:val="24"/>
        </w:rPr>
      </w:pPr>
      <w:bookmarkStart w:id="9" w:name="__RefHeading___Toc75861315"/>
      <w:bookmarkEnd w:id="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INFORMACJA O CHARAKTERZE I CECHACH ISTNIEJĄCYCH I PRZEWIDYWANYCH ZAGROŻEŃ DLA ŚRODOWISKA ORAZ HIGIENY I ZDROWIA UŻYTKOWNIKÓW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Przyjęte w niniejszym projekcie rozwiązania przestrzenne, funkcjonalne i techniczne nie będą wpływać negatywnie na środowisko przyrodnicze, zdrowie ludzi jak również na inne obiekty budowlane.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 xml:space="preserve">Oddziaływania na środowisko w postacie emisji zanieczyszczeń gazowych, pyłowych będą miały charakter krótkotrwały, występujący jedynie na etapie prowadzenia robót budowlanych. Będą to zanieczyszczenia pochodzące od pracy silników spalinowych maszyn, urządzeń i pojazdów budowy wykorzystywanych do realizacji inwestycji. Odpady wytworzone na miejscu budowy, stanowiące odpad powstały przy wbudowywaniu poszczególnych rodzajów i gatunków materiałów budowlanych oddane zostaną do punktów utylizacji. Odpady nadające się do ponownego przetworzenia zostaną posegregowane rodzajowo, zebrane w pojemniki do tego celu przeznaczone i oddane do lokalnego punktu gromadzenia odpadów.   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>Zmodernizowane obiekty w postaci nawierzchni przeznaczonej dla ruchu pieszych nie wpłyną na pogorszenie klimatu akustycznego.  Jakiekolwiek uciążliwości w tym zakresie będą związane wyłącznie z etapem realizacji inwestycji i będą miały charakter krótkotrwały.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  <w:bCs/>
        </w:rPr>
        <w:t>Mając na względzie zakres przewidzianych do wykonania prac należy stwierdzić, że zarówno roboty budowlane, jak i późniejsza eksploatacja nie będą wywierały ujemnego wpływu na wody powierzchniowe i podziemne na tym terenie – bez zmian w stosunku do stanu istniejącego.</w:t>
      </w:r>
      <w:r>
        <w:rPr>
          <w:rFonts w:cs="Times New Roman" w:ascii="Times New Roman" w:hAnsi="Times New Roman"/>
        </w:rPr>
        <w:t xml:space="preserve">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 xml:space="preserve">Warunki odwodnienia – bez zmian w stosunku do stanu istniejącego (kanalizacja deszczowa).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/>
      </w:pPr>
      <w:r>
        <w:rPr>
          <w:sz w:val="24"/>
          <w:szCs w:val="24"/>
        </w:rPr>
        <w:t>Planowana inwestycja ma charakter nieuciążliwy i nie stanowi inwestycji zaliczanych do przedsięwzięć mogących znacząco oddziaływać na środowisko naturalne w rozumieniu Rozporządzenia Rady Ministrów z dnia 9.11.2010 w sprawie przedsięwzięć mogących znacząco oddziaływać na środowisko</w:t>
      </w:r>
      <w:r>
        <w:rPr>
          <w:rFonts w:eastAsia="NSimSun"/>
          <w:bCs/>
          <w:sz w:val="24"/>
          <w:szCs w:val="24"/>
          <w:lang w:bidi="hi-IN"/>
        </w:rPr>
        <w:t>.</w:t>
      </w:r>
    </w:p>
    <w:p>
      <w:pPr>
        <w:pStyle w:val="Textbody"/>
        <w:bidi w:val="0"/>
        <w:spacing w:lineRule="exact" w:line="280" w:before="0" w:after="0"/>
        <w:ind w:left="426" w:right="0" w:hanging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br/>
      </w:r>
    </w:p>
    <w:p>
      <w:pPr>
        <w:pStyle w:val="Akapitzlist"/>
        <w:spacing w:lineRule="exact" w:line="280"/>
        <w:ind w:left="400" w:right="0" w:hanging="0"/>
        <w:jc w:val="both"/>
        <w:rPr>
          <w:rFonts w:eastAsia="NSimSun"/>
          <w:sz w:val="24"/>
          <w:szCs w:val="24"/>
          <w:lang w:bidi="hi-IN"/>
        </w:rPr>
      </w:pPr>
      <w:r>
        <w:rPr>
          <w:rFonts w:eastAsia="NSimSun"/>
          <w:sz w:val="24"/>
          <w:szCs w:val="24"/>
          <w:lang w:bidi="hi-IN"/>
        </w:rPr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  <w:t>Uwarunkowania mające wpływ na higienę i zdrowie użytkowników projektowanych obiektów i ich otoczenia.</w:t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color w:val="CE181E"/>
        </w:rPr>
      </w:pPr>
      <w:r>
        <w:rPr>
          <w:rFonts w:cs="Times New Roman" w:ascii="Times New Roman" w:hAnsi="Times New Roman"/>
          <w:color w:val="CE181E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>Z uwagi na charakter i lokalizację obiektu, nie występują uwarunkowania wpływające szczególnie negatywnie na zdrowie czy higienę użytkowników.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 xml:space="preserve">Modernizowane nawierzchnie zapewnią możliwość komfortowego i bezpiecznego korzystania przez wszystkich uczestników ruchu. </w:t>
      </w:r>
    </w:p>
    <w:p>
      <w:pPr>
        <w:pStyle w:val="Akapitzlist"/>
        <w:spacing w:lineRule="exact" w:line="280"/>
        <w:ind w:left="0" w:right="0" w:hanging="0"/>
        <w:jc w:val="both"/>
        <w:rPr>
          <w:lang w:eastAsia="en-US"/>
        </w:rPr>
      </w:pPr>
      <w:r>
        <w:rPr>
          <w:lang w:eastAsia="en-US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0" w:name="__RefHeading___Toc75861316"/>
      <w:bookmarkEnd w:id="1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KOŃCOWE</w:t>
      </w:r>
    </w:p>
    <w:p>
      <w:pPr>
        <w:pStyle w:val="Normal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widowControl/>
        <w:suppressAutoHyphens w:val="true"/>
        <w:bidi w:val="0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Wszelkie roboty budowlane należy wykonywać zgodnie z dokumentacją projektową pod nadzorem osoby posiadającej stosowne uprawnienia do kierowania robotami w danej specjalności.  Szczegółowe wymagania i zalecenia dotyczące realizacji robót budowlanych opisuje część opracowania pn. projekt architektoniczno-budowlany oraz odpowiednie specyfikacje techniczne wykonania i odbioru robót budowlanych.</w:t>
      </w:r>
    </w:p>
    <w:p>
      <w:pPr>
        <w:pStyle w:val="Normal"/>
        <w:ind w:left="400" w:right="0" w:hanging="0"/>
        <w:jc w:val="right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1" w:name="__RefHeading___Toc75861317"/>
      <w:bookmarkEnd w:id="11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>ZAGOSPODAROWANIA TERENU</w:t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2" w:name="__RefHeading___Toc75861318"/>
      <w:bookmarkEnd w:id="12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r>
        <w:rPr>
          <w:b w:val="false"/>
          <w:bCs w:val="false"/>
          <w:i w:val="false"/>
          <w:iCs w:val="false"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</w:rPr>
      </w:pPr>
      <w:bookmarkStart w:id="13" w:name="__RefHeading___Toc3220_1339427135"/>
      <w:bookmarkEnd w:id="13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orientacyjny (rys. nr 1).</w:t>
      </w:r>
    </w:p>
    <w:p>
      <w:pPr>
        <w:pStyle w:val="Nagwek2"/>
        <w:numPr>
          <w:ilvl w:val="1"/>
          <w:numId w:val="2"/>
        </w:numPr>
        <w:rPr>
          <w:i w:val="false"/>
          <w:i w:val="false"/>
          <w:iCs w:val="false"/>
          <w:sz w:val="24"/>
          <w:szCs w:val="24"/>
        </w:rPr>
      </w:pPr>
      <w:bookmarkStart w:id="14" w:name="__RefHeading___Toc3222_1339427135"/>
      <w:bookmarkEnd w:id="14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sytuacyjny (rys. nr 2).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5" w:name="__RefHeading___Toc415_2367410010"/>
      <w:bookmarkEnd w:id="15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INFORMACJA DOTYCZĄCA PLANU BEZPIECZEŃSTWA </w:t>
        <w:br/>
        <w:t>I OCHRONY ZDROWIA</w:t>
      </w:r>
    </w:p>
    <w:p>
      <w:pPr>
        <w:pStyle w:val="Normal"/>
        <w:jc w:val="center"/>
        <w:rPr/>
      </w:pPr>
      <w:r>
        <w:rPr/>
      </w:r>
    </w:p>
    <w:p>
      <w:pPr>
        <w:pStyle w:val="Normal"/>
        <w:numPr>
          <w:ilvl w:val="0"/>
          <w:numId w:val="5"/>
        </w:numPr>
        <w:ind w:left="284" w:right="-156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Zakres robót zamierzenia budowlanego oraz kolejność realizacji urządzeń towarzyszących</w:t>
      </w:r>
    </w:p>
    <w:p>
      <w:pPr>
        <w:pStyle w:val="Normal"/>
        <w:ind w:left="142" w:right="0" w:hanging="0"/>
        <w:rPr>
          <w:sz w:val="24"/>
          <w:szCs w:val="24"/>
        </w:rPr>
      </w:pPr>
      <w:r>
        <w:rPr>
          <w:sz w:val="24"/>
          <w:szCs w:val="24"/>
        </w:rPr>
        <w:t>Główne roboty budowlane prowadzone będą w następującej kolejności: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wytyczenie geodezyjne 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rozbiórki istniejących nawierzchni z kostki betonowej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infrastruktury podziemnej / elementów zabezpieczających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instalacja urządzeń doświetlających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nowych elementów nawierzchniowych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>odtworzenie rozebranych nawierzchni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wykonanie oznakowania poziomego i pionowego</w:t>
      </w:r>
    </w:p>
    <w:p>
      <w:pPr>
        <w:pStyle w:val="Normal"/>
        <w:ind w:left="862" w:right="0" w:hanging="0"/>
        <w:rPr>
          <w:iCs/>
          <w:sz w:val="24"/>
          <w:szCs w:val="24"/>
        </w:rPr>
      </w:pPr>
      <w:r>
        <w:rPr>
          <w:iCs/>
          <w:sz w:val="24"/>
          <w:szCs w:val="24"/>
        </w:rPr>
      </w:r>
    </w:p>
    <w:p>
      <w:pPr>
        <w:pStyle w:val="Normal"/>
        <w:ind w:left="708" w:right="0" w:hanging="566"/>
        <w:rPr>
          <w:sz w:val="24"/>
          <w:szCs w:val="24"/>
        </w:rPr>
      </w:pPr>
      <w:r>
        <w:rPr>
          <w:sz w:val="24"/>
          <w:szCs w:val="24"/>
        </w:rPr>
        <w:t>Wykaz istniejących obiektów budowlanych:</w:t>
      </w:r>
    </w:p>
    <w:p>
      <w:pPr>
        <w:pStyle w:val="Normal"/>
        <w:rPr/>
      </w:pPr>
      <w:r>
        <w:rPr>
          <w:sz w:val="24"/>
          <w:szCs w:val="24"/>
          <w:u w:val="none"/>
        </w:rPr>
        <w:t xml:space="preserve">  </w:t>
      </w:r>
      <w:r>
        <w:rPr>
          <w:sz w:val="24"/>
          <w:szCs w:val="24"/>
          <w:u w:val="none"/>
        </w:rPr>
        <w:t xml:space="preserve">Przyległa do drogi zabudowa jednorodzinna </w:t>
      </w:r>
      <w:r>
        <w:rPr>
          <w:sz w:val="24"/>
          <w:szCs w:val="24"/>
          <w:u w:val="none"/>
        </w:rPr>
        <w:t>oraz usługowa.</w:t>
      </w:r>
    </w:p>
    <w:p>
      <w:pPr>
        <w:pStyle w:val="Akapitzlist"/>
        <w:ind w:left="142" w:right="0" w:hanging="0"/>
        <w:jc w:val="both"/>
        <w:rPr>
          <w:rFonts w:eastAsia="Times New Roman" w:cs="Times New Roman"/>
          <w:i w:val="false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pPr>
      <w:r>
        <w:rPr>
          <w:rFonts w:eastAsia="Times New Roman" w:cs="Times New Roman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r>
    </w:p>
    <w:p>
      <w:pPr>
        <w:pStyle w:val="Akapitzlist"/>
        <w:ind w:left="142" w:right="0" w:hanging="0"/>
        <w:jc w:val="both"/>
        <w:rPr>
          <w:rFonts w:eastAsia="Times New Roman" w:cs="Times New Roman"/>
          <w:i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pPr>
      <w:r>
        <w:rPr>
          <w:rFonts w:eastAsia="Times New Roman" w:cs="Times New Roman"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/>
      </w:pP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Elementy, które mogą stwarzać zagrożenie dla bezpieczeństwa i zdrowia ludzi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Planowana modernizacja nawierzchni prowadzona będzie w typowej technologii co za tym idzie, nie przewiduje się czynności stwarzających ponadstandardowe ryzyko powstania zagrożenia bezpieczeństwa i zdrowia ludzi.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Nie przewiduje się wykorzystywania ciężkich elementów prefabrykowanych jak również udziału innych szczególnie niebezpiecznych robót budowlanych.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Zagrożenia, które mogą wystąpić w trakcie budowy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Czynności, które mogą stanowić potencjalne zagrożenie w trakcie realizacji robót budowlanych związane będą między innymi z: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pracą sprzętu w tracie dowozu i rozładunku materiałów budowlanych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maszyn w trakcie układania nawierzchni drogowych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w rejonie uzbrojenia podziemnego / naziemnego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</w:r>
    </w:p>
    <w:p>
      <w:pPr>
        <w:pStyle w:val="Normal"/>
        <w:ind w:left="708" w:right="0" w:hanging="566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Akapitzlist"/>
        <w:numPr>
          <w:ilvl w:val="0"/>
          <w:numId w:val="5"/>
        </w:numPr>
        <w:spacing w:before="0" w:after="0"/>
        <w:ind w:left="284" w:right="0" w:hanging="284"/>
        <w:contextualSpacing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Sposób prowadzenia instruktażu pracowników przed przystąpieniem do realizacji robót szczególnie niebezpiecznych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budowy jest zobowiązany do udzielenia szczegółowego instruktażu zatrudnionym na budowie pracownikom w zakresie przestrzegania obowiązujących przepisów i zasad bezpieczeństwa pracy. Dodatkowo pracownicy, przed rozpoczęciem robót, powinni być poinformowani przez przełożonego o zakresie ich obowiązków, sposobie wykonywania pracy na wyznaczonym stanowisku, ryzyku zawodowym związanym z wykonywaną pracą oraz o zasadach ochrony przed zagrożeniami.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numPr>
          <w:ilvl w:val="0"/>
          <w:numId w:val="5"/>
        </w:numPr>
        <w:ind w:left="284" w:right="0" w:hanging="284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Środki techniczne i organizacyjne zapewniające bezpieczeństwo</w:t>
      </w:r>
    </w:p>
    <w:p>
      <w:pPr>
        <w:pStyle w:val="Normal"/>
        <w:ind w:left="708" w:right="0" w:hanging="566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Zagospodarowanie terenu budowy wykonuje się co najmniej w zakresie:</w:t>
      </w:r>
    </w:p>
    <w:p>
      <w:pPr>
        <w:pStyle w:val="Normal"/>
        <w:numPr>
          <w:ilvl w:val="0"/>
          <w:numId w:val="9"/>
        </w:numPr>
        <w:jc w:val="both"/>
        <w:rPr/>
      </w:pPr>
      <w:r>
        <w:rPr>
          <w:sz w:val="24"/>
          <w:szCs w:val="24"/>
        </w:rPr>
        <w:t>zorganizowania niezbędnych wygrodzeń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zapewnienia oświetlenia naturalnego ew. sztucznego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urządzenia składowisk materiałów i wyrobów </w:t>
      </w:r>
    </w:p>
    <w:p>
      <w:pPr>
        <w:pStyle w:val="Normal"/>
        <w:numPr>
          <w:ilvl w:val="0"/>
          <w:numId w:val="9"/>
        </w:numPr>
        <w:rPr/>
      </w:pPr>
      <w:r>
        <w:rPr>
          <w:sz w:val="24"/>
          <w:szCs w:val="24"/>
        </w:rPr>
        <w:t>na terenie budowy należy zabezpieczyć apteczkę pierwszej pomocy i sprzęt gaśniczy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trakcie wykonywania robót budowlanych kierownik budowy winien zapewnić odpowiednie oznakowanie rejonu prowadzonych robót a także zapewnić niekolidujące z dojazdem do posesji prywatnych trasy dostaw materiałów budowlanych oraz sprzętu budowlanego.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robót jest zobowiązany chronić zdrowie i życie pracowników przez zapewnienie bezpiecznych i higienicznych warunków pracy a przed przystąpieniem do robót budowlanych - do sporządzenia planu bezpieczeństwa i ochrony zdrowia.</w:t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right="0" w:hanging="0"/>
        <w:jc w:val="right"/>
        <w:rPr/>
      </w:pPr>
      <w:r>
        <w:rPr/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6" w:name="__RefHeading___Toc417_2367410010"/>
      <w:bookmarkEnd w:id="16"/>
      <w:r>
        <w:rPr>
          <w:rStyle w:val="Mocnowyrniony"/>
          <w:rFonts w:cs="Times New Roman" w:ascii="Times New Roman" w:hAnsi="Times New Roman"/>
          <w:sz w:val="24"/>
          <w:szCs w:val="24"/>
        </w:rPr>
        <w:t>PROJEKT ARCHITEKTONICZNO-BUDOWLANY</w:t>
      </w:r>
    </w:p>
    <w:p>
      <w:pPr>
        <w:pStyle w:val="Normal"/>
        <w:jc w:val="center"/>
        <w:rPr/>
      </w:pPr>
      <w:r>
        <w:rPr/>
      </w:r>
    </w:p>
    <w:p>
      <w:pPr>
        <w:pStyle w:val="Nagwek2"/>
        <w:numPr>
          <w:ilvl w:val="1"/>
          <w:numId w:val="3"/>
        </w:numPr>
        <w:rPr>
          <w:i w:val="false"/>
          <w:i w:val="false"/>
          <w:iCs w:val="false"/>
          <w:sz w:val="24"/>
          <w:szCs w:val="24"/>
        </w:rPr>
      </w:pPr>
      <w:bookmarkStart w:id="17" w:name="__RefHeading___Toc419_2367410010"/>
      <w:bookmarkEnd w:id="17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PRZEZNACZENIE I PROGRAM UŻYTKOWY OBIEKTU </w:t>
      </w:r>
    </w:p>
    <w:p>
      <w:pPr>
        <w:pStyle w:val="Normal"/>
        <w:ind w:left="709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Przeznaczenie obiektu (chodnik w obrębie skrzyżowania) – bez zmian w stosunku do stanu istniejącego, dla ogólnodostępnego ruchu pieszych.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>
          <w:sz w:val="22"/>
          <w:szCs w:val="22"/>
        </w:rPr>
        <w:t>Charakterystyczne parametry techniczne:</w:t>
      </w:r>
    </w:p>
    <w:p>
      <w:pPr>
        <w:pStyle w:val="Normal"/>
        <w:jc w:val="both"/>
        <w:rPr/>
      </w:pPr>
      <w:r>
        <w:rPr>
          <w:sz w:val="22"/>
          <w:szCs w:val="22"/>
        </w:rPr>
        <w:t xml:space="preserve">Nawierzchnia chodników objęta robotami:  ok. </w:t>
      </w:r>
      <w:r>
        <w:rPr>
          <w:sz w:val="22"/>
          <w:szCs w:val="22"/>
        </w:rPr>
        <w:t>40</w:t>
      </w: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  <w:r>
        <w:rPr>
          <w:position w:val="0"/>
          <w:sz w:val="22"/>
          <w:sz w:val="22"/>
          <w:szCs w:val="22"/>
          <w:vertAlign w:val="baseline"/>
        </w:rPr>
        <w:t>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eastAsia="Times New Roman" w:cs="Times New Roman"/>
          <w:b/>
          <w:b/>
          <w:bCs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bookmarkStart w:id="18" w:name="__RefHeading___Toc75861322"/>
      <w:bookmarkEnd w:id="18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FORMA ARCHITEKTONICZNA I FUNKCJA OBIEKTU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eastAsia="Times New Roman" w:cs="Times New Roman" w:ascii="Times New Roman" w:hAnsi="Times New Roman"/>
          <w:b w:val="false"/>
          <w:bCs w:val="false"/>
          <w:i w:val="false"/>
          <w:iCs w:val="false"/>
          <w:color w:val="auto"/>
          <w:kern w:val="0"/>
          <w:sz w:val="22"/>
          <w:szCs w:val="22"/>
          <w:lang w:val="pl-PL" w:eastAsia="zh-CN" w:bidi="ar-SA"/>
        </w:rPr>
        <w:t>Przebudowa chodników</w:t>
      </w:r>
      <w:r>
        <w:rPr>
          <w:rFonts w:eastAsia="Times New Roman" w:cs="Times New Roman" w:ascii="Times New Roman" w:hAnsi="Times New Roman"/>
          <w:kern w:val="0"/>
        </w:rPr>
        <w:t xml:space="preserve"> zostanie wykonana przy użyciu kostki betonowej – zgodnie z obiektami sąsiednimi o tym samym charakterze.</w:t>
      </w:r>
    </w:p>
    <w:p>
      <w:pPr>
        <w:pStyle w:val="Normal"/>
        <w:jc w:val="both"/>
        <w:rPr/>
      </w:pPr>
      <w:r>
        <w:rPr>
          <w:sz w:val="22"/>
          <w:szCs w:val="22"/>
        </w:rPr>
        <w:t>Podstawowa funkcja projektowanego obiektu:  bez zmian - drogi zapewniające komunikację pieszą w obrębie skrzyżowania.</w:t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19" w:name="__RefHeading___Toc1786_1339427135"/>
      <w:bookmarkEnd w:id="1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UKŁAD KONSTRUKCYJNY PRZEBUDOWYWANYCH OBIEKTÓW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>Projektowana konstrukcja przebudowywanych nawierzchni chodnikowych: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Akapitzlist"/>
        <w:jc w:val="both"/>
        <w:rPr/>
      </w:pPr>
      <w:r>
        <w:rPr>
          <w:sz w:val="22"/>
          <w:szCs w:val="22"/>
        </w:rPr>
        <w:t>- kostka betonowa  / kostka betonowa ostrzegawcza, gr. 8 cm</w:t>
      </w:r>
    </w:p>
    <w:p>
      <w:pPr>
        <w:pStyle w:val="Akapitzlist"/>
        <w:jc w:val="left"/>
        <w:rPr/>
      </w:pPr>
      <w:r>
        <w:rPr>
          <w:sz w:val="22"/>
          <w:szCs w:val="22"/>
        </w:rPr>
        <w:t>- podsypka cementowo – piaskowa, gr. 5cm</w:t>
        <w:br/>
        <w:t>- podbudowa z kruszywa łamanego fr. 0-31,5mm C</w:t>
      </w:r>
      <w:r>
        <w:rPr>
          <w:sz w:val="22"/>
          <w:szCs w:val="22"/>
          <w:vertAlign w:val="subscript"/>
        </w:rPr>
        <w:t>90/3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right="0" w:hanging="0"/>
        <w:jc w:val="both"/>
        <w:rPr/>
      </w:pPr>
      <w:r>
        <w:rPr>
          <w:sz w:val="22"/>
          <w:szCs w:val="22"/>
        </w:rPr>
        <w:t>P</w:t>
      </w:r>
      <w:r>
        <w:rPr>
          <w:sz w:val="22"/>
          <w:szCs w:val="22"/>
        </w:rPr>
        <w:t xml:space="preserve">rzewidziane jest wtórne </w:t>
      </w:r>
      <w:r>
        <w:rPr>
          <w:sz w:val="22"/>
          <w:szCs w:val="22"/>
        </w:rPr>
        <w:t xml:space="preserve">wbudowanie </w:t>
      </w:r>
      <w:r>
        <w:rPr>
          <w:sz w:val="22"/>
          <w:szCs w:val="22"/>
        </w:rPr>
        <w:t xml:space="preserve">kostki </w:t>
      </w:r>
      <w:r>
        <w:rPr>
          <w:sz w:val="22"/>
          <w:szCs w:val="22"/>
        </w:rPr>
        <w:t>betonowej</w:t>
      </w:r>
      <w:r>
        <w:rPr>
          <w:sz w:val="22"/>
          <w:szCs w:val="22"/>
        </w:rPr>
        <w:t xml:space="preserve"> pozyskanej z rozbiórki.</w:t>
      </w:r>
    </w:p>
    <w:p>
      <w:pPr>
        <w:pStyle w:val="Akapitzlis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0"/>
          <w:numId w:val="0"/>
        </w:numPr>
        <w:ind w:left="0" w:hanging="0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0" w:name="__RefHeading___Toc75861324"/>
      <w:bookmarkEnd w:id="2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BUDOWLANE I TECHNICZNO-INSTALACYJNE ORAZ ROZWIĄZANIA TECHNICZNO-BUDOWLANE W MIEJSCACH CHARAKTERYSTYCZNYCH.</w:t>
      </w:r>
    </w:p>
    <w:p>
      <w:pPr>
        <w:pStyle w:val="Akapitzlist"/>
        <w:ind w:left="400" w:right="0" w:hanging="0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Nawierzchnie chodnikowe będą ukształtowane w dopasowaniu wysokościowym do terenu istniejącego. 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Normal"/>
        <w:jc w:val="both"/>
        <w:rPr>
          <w:u w:val="single"/>
        </w:rPr>
      </w:pPr>
      <w:r>
        <w:rPr>
          <w:b/>
          <w:bCs/>
          <w:i w:val="false"/>
          <w:iCs w:val="false"/>
          <w:sz w:val="22"/>
          <w:szCs w:val="22"/>
          <w:u w:val="single"/>
        </w:rPr>
        <w:t>UWAGA: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 rejonie przejść dla pieszych pochylenie nawierzchni chodnika nie powinno przekraczać 5%. 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W rejonie przejścia dla pieszych należy zapewnić właściwe obniżenie krawężnika (jego wysokość nie powinna przekraczać 2cm powyżej nawierzchni jezdni). Zalecane jest zapewnienie wyniesienia na poziomie 1cm.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Na szerokości przejścia dla pieszych należy wbudować obniżone krawężniki najazdowe (15x22cm).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iCs/>
          <w:sz w:val="22"/>
          <w:szCs w:val="22"/>
        </w:rPr>
        <w:t>Nawierzchnie ostrzegawcze należy wykonać z kostek betonowych sygnalizacyjnych typu ,,STOP’’ (kostka betonowa z wypustkami, w kolorze kontrastowym – żółtym). Szerokość nawierzchni ostrzegawczej – wg szczegółów konstrukcyjnych.</w:t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1" w:name="__RefHeading___Toc75861325"/>
      <w:bookmarkEnd w:id="2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ZASADNICZYCH ELEMENTÓW WYPOSAŻENIA BUDOWLANO-INSTALACYJNEGO.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Planuje się wykonanie doświetlenia realizowanych przejść dla pieszych.  Zostanie ono przperowadzone poprzez instalację dedykowanych do tego celu lamp typu LED, instalowanych obustronnie w strefach najazdowych.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Zastosowane doświetlenie będzie charakteryzować się natężeniem światła i temperaturą barwową odróżniającą się od istniejącego oświetlenia ulicznego (temperatura barwowa oświetlenia przejścia na poziomie ok. 5700K).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>Zaleca się instalację tzw. inteligentnego systemu aktywnego składającego się z detektorów ruchu, które po zmierzchu aktywują się doświetlając w pełni (do 100% mocy) przejście.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Pozostała istniejąca infrastruktura techniczna podziemna – bez zmian.</w:t>
      </w:r>
    </w:p>
    <w:p>
      <w:pPr>
        <w:pStyle w:val="Normal"/>
        <w:jc w:val="both"/>
        <w:rPr/>
      </w:pPr>
      <w:r>
        <w:rPr>
          <w:sz w:val="22"/>
          <w:szCs w:val="22"/>
        </w:rPr>
        <w:t>Odwodnienie nawierzchni –  be zmian, wg stanu istniejącego (kanalizacja deszczowa).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Wszystkie urządzenia zlokalizowane w nawierzchni chodnika lub jezdni tj.; studnie, zasuwy, wpusty każdorazowo podlegają regulacji wysokościowej do rzędnych docelowej warstwy ścieralnej (tj. projektowanego chodnika lub jezdni), jeśli będzie to konieczne dla zachowania wymaganej równości nawierzchni.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Instalacja niezbędnych znaków pionowych i poziomych zostanie wykonana na podstawie zatwierdzonego projektu stałej organizacji ruchu  stanowiącego odrębne opracowanie.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2" w:name="__RefHeading___Toc75861326"/>
      <w:bookmarkEnd w:id="2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I SPOSÓB FUNKCJONOWANIA ZASADNICZYCH URZĄDZEŃ INSTALACJI TECHNICZNYCH.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>
          <w:rFonts w:ascii="Times New Roman" w:hAnsi="Times New Roman"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Planowane doświetlenie przejść dla pieszych zostanie zasilone z sieci istniejącego oświetlenia drogowego.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 uwagi na charakter inwestycji, poza w/w doświetleniem przejść nie przewiduje się budowy żadnych dodatkowych instalacji technicznych.</w:t>
      </w:r>
    </w:p>
    <w:p>
      <w:pPr>
        <w:pStyle w:val="Normal"/>
        <w:jc w:val="both"/>
        <w:rPr>
          <w:sz w:val="22"/>
          <w:szCs w:val="22"/>
          <w:highlight w:val="yellow"/>
        </w:rPr>
      </w:pPr>
      <w:r>
        <w:rPr>
          <w:sz w:val="22"/>
          <w:szCs w:val="22"/>
          <w:highlight w:val="yellow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3" w:name="__RefHeading___Toc75861327"/>
      <w:bookmarkEnd w:id="2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TECHNICZNE OBIEKTU CHARAKTERYZUJĄCE JEGO WPŁYW NA ŚRODOWISKO, ZDROWIE LUDZI I OBIEKTY SĄSIEDNIE.</w:t>
      </w:r>
    </w:p>
    <w:p>
      <w:pPr>
        <w:pStyle w:val="Normal"/>
        <w:ind w:left="3540" w:right="0" w:hanging="354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Planowana inwestycja ma charakter nieuciążliwy i nie jest zaliczana do przedsięwzięć mogących znacząco oddziaływać na środowisko naturalne w rozumieniu Rozporządzenia Rady Ministrów z dnia 9.11.2010 w sprawie przedsięwzięć mogących znacząco oddziaływać na środowisko. 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Dane techniczne charakteryzujące wpływ na środowisko, zdrowie ludzi oraz inne obiekty budowlane: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Odwodnienie modernizowanych nawierzchni będzie funkcjonować wg obecnego schematu tj. powierzchniowo. Bez ujemnego wpływu na środowisko gruntowo-wodne.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 xml:space="preserve">Eksploatacja obiektu nie będzie związana z wytwarzaniem odpadów czy emisją zanieczyszczeń gazowych. 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Projektowana inwestycja nie obejmuje obiektów, które mogłyby stanowić znaczące źródło hałasu, zatem nie spowoduje zmian w klimacie akustycznym otoczenia.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Dla projektowanej funkcji obiektu nie występuje związana z jego eksploatacją emisja wibracji czy promieniowania (w tym jonizującego)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Charakter obiektu budowlanego, jego lokalizacja oraz przeznaczenie nie wpływają na środowisko przyrodnicze (istniejący drzewostan, glebę, wody powierzchniowe/podziemne) czy zdrowie ludzi.</w:t>
      </w:r>
    </w:p>
    <w:p>
      <w:pPr>
        <w:pStyle w:val="Normal"/>
        <w:numPr>
          <w:ilvl w:val="0"/>
          <w:numId w:val="0"/>
        </w:numPr>
        <w:ind w:left="1440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4" w:name="__RefHeading___Toc75861328"/>
      <w:bookmarkEnd w:id="2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WARUNKI OCHRONY PRZECIWPOŻAROWEJ.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Warunki ochrony przeciwpożarowej obiektów sąsiadujących z modernizowaną ulicą pozostają bez zmian w stosunku do stanu istniejącego. </w:t>
      </w:r>
    </w:p>
    <w:p>
      <w:pPr>
        <w:pStyle w:val="Normal"/>
        <w:ind w:left="426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keepNext w:val="true"/>
        <w:widowControl/>
        <w:numPr>
          <w:ilvl w:val="1"/>
          <w:numId w:val="3"/>
        </w:numPr>
        <w:suppressAutoHyphens w:val="true"/>
        <w:bidi w:val="0"/>
        <w:spacing w:before="240" w:after="60"/>
        <w:jc w:val="left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5" w:name="__RefHeading___Toc421_2367410010"/>
      <w:bookmarkEnd w:id="2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OGÓLNE.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  <w:bookmarkStart w:id="26" w:name="_Hlk41731282"/>
      <w:bookmarkStart w:id="27" w:name="_Hlk41731282"/>
      <w:bookmarkEnd w:id="27"/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 w:val="false"/>
          <w:iCs w:val="false"/>
          <w:sz w:val="22"/>
          <w:szCs w:val="22"/>
        </w:rPr>
        <w:t xml:space="preserve">Każdorazowo w przypadku konieczności prowadzenia jakichkolwiek robót ziemnych (np. wykopy pod  urządzenia infrastruktury podziemnej) </w:t>
      </w:r>
      <w:r>
        <w:rPr>
          <w:b w:val="false"/>
          <w:bCs w:val="false"/>
          <w:sz w:val="22"/>
          <w:szCs w:val="22"/>
        </w:rPr>
        <w:t xml:space="preserve">wymagane są uprzednie przekopy kontrolne, sprawdzające głębokość ułożenia poszczególnych sieci - należy potwierdzać lokalizację infrastruktury podziemnej uwidocznionej na mapie. Każdorazowo roboty budowlane w miejscu przebiegu istniejącego uzbrojenia należy prowadzić ręcznie bez użycia sprzętu mechanicznego.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Cs/>
          <w:sz w:val="22"/>
          <w:szCs w:val="22"/>
        </w:rPr>
        <w:t>Wszystkie roboty budowlane w obrębie infrastruktury podziemnej nale</w:t>
      </w:r>
      <w:r>
        <w:rPr>
          <w:iCs/>
          <w:sz w:val="22"/>
          <w:szCs w:val="22"/>
        </w:rPr>
        <w:t xml:space="preserve">ży prowadzić z zachowaniem należytej ostrożności - dotyczy w szczególności elektroenergetycznych linii kablowych oraz sieci gazowych.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iCs/>
          <w:sz w:val="22"/>
          <w:szCs w:val="22"/>
        </w:rPr>
        <w:t xml:space="preserve">Wszystkie roboty ziemne w rejonie istniejącego uzbrojenia prowadzić po uprzednim powiadomieniu i pod nadzorem właściciela danej sieci. Roboty w rejonie sieci gazowych prowadzić w porozumieniu z Polską Spółką gazownictwa Sp. z o.o Gazownia w Ostrowcu Świętokrzyskim (ul. Sandomierska 95, 27-400 Ostrowiec Świętokrzyski). </w:t>
      </w:r>
    </w:p>
    <w:p>
      <w:pPr>
        <w:pStyle w:val="Normal"/>
        <w:spacing w:lineRule="auto" w:line="276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276"/>
        <w:jc w:val="both"/>
        <w:rPr/>
      </w:pPr>
      <w:r>
        <w:rPr>
          <w:sz w:val="22"/>
          <w:szCs w:val="22"/>
        </w:rPr>
        <w:t xml:space="preserve">W przypadku stwierdzenia sieci na głębokościach nienormatywnych  należy wstrzymać roboty budowlane związane z budową konstrukcji nawierzchni i bezzwłocznie powiadomić o tym fakcie właściciela sieci </w:t>
        <w:br/>
        <w:t xml:space="preserve">(w porozumieniu z gestorem i projektantem należy wówczas ustalić sposób należytego zabezpieczenia bądź likwidacji kolizji). </w:t>
      </w:r>
      <w:r>
        <w:rPr>
          <w:iCs/>
          <w:sz w:val="22"/>
          <w:szCs w:val="22"/>
        </w:rPr>
        <w:t>W przypadku napotkania jakichkolwiek dodatkowych, niezinwentaryzowanych przewodów podziemnych należy ten fakt zgłosić do odpowiedniego gestora / użytkownika sieci.</w:t>
      </w:r>
    </w:p>
    <w:p>
      <w:pPr>
        <w:pStyle w:val="Normal"/>
        <w:spacing w:lineRule="auto" w:line="276"/>
        <w:jc w:val="both"/>
        <w:rPr/>
      </w:pPr>
      <w:r>
        <w:rPr/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Poszczególne roboty należy realizować przy zachowaniu zasad określonych we właściwych Specyfikacjach Wykonania i Odbioru Robót Budowlanych. Wszystkie prace należy realizować zgodnie ze sztuką budowlaną, pod nadzorem osoby posiadającej stosowne uprawnienia do kierowania robotami budowlanymi w branży inżynieryjnej drogowej.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>W czasie budowy przestrzegać przepisów BHP w zakresie transportu, składowania materiałów, zabezpieczenia wykopów, oznakowania miejsc niebezpiecznych.</w:t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bookmarkStart w:id="28" w:name="_Hlk417312821"/>
      <w:r>
        <w:rPr>
          <w:iCs/>
          <w:sz w:val="22"/>
          <w:szCs w:val="22"/>
        </w:rPr>
        <w:t>Ewentualne wykopy miejscowe należy odpowiednio oznakować i zabezpieczyć przed osobami postronnymi.</w:t>
      </w:r>
      <w:bookmarkEnd w:id="28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bookmarkStart w:id="29" w:name="_Hlk417312822"/>
      <w:bookmarkStart w:id="30" w:name="_Hlk417312822"/>
      <w:bookmarkEnd w:id="30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31" w:name="__RefHeading___Toc75861330"/>
      <w:bookmarkEnd w:id="31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ind w:left="3577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32" w:name="__RefHeading___Toc3224_1339427135"/>
      <w:bookmarkEnd w:id="32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Szczegóły konstrukcyjne  (rys. nr 3).</w:t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/>
      </w:pPr>
      <w:r>
        <w:rPr/>
      </w:r>
    </w:p>
    <w:sectPr>
      <w:headerReference w:type="default" r:id="rId5"/>
      <w:footerReference w:type="default" r:id="rId6"/>
      <w:type w:val="nextPage"/>
      <w:pgSz w:w="11906" w:h="16838"/>
      <w:pgMar w:left="1417" w:right="1006" w:header="426" w:top="1417" w:footer="708" w:bottom="1560" w:gutter="0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Calibri Light">
    <w:charset w:val="ee"/>
    <w:family w:val="roman"/>
    <w:pitch w:val="variable"/>
  </w:font>
  <w:font w:name="Calibri">
    <w:charset w:val="ee"/>
    <w:family w:val="roman"/>
    <w:pitch w:val="variable"/>
  </w:font>
  <w:font w:name="Liberation Serif">
    <w:altName w:val="Times New Roman"/>
    <w:charset w:val="ee"/>
    <w:family w:val="swiss"/>
    <w:pitch w:val="variable"/>
  </w:font>
  <w:font w:name="Wingdings">
    <w:charset w:val="ee"/>
    <w:family w:val="roman"/>
    <w:pitch w:val="variable"/>
  </w:font>
  <w:font w:name="Courier New">
    <w:charset w:val="ee"/>
    <w:family w:val="roman"/>
    <w:pitch w:val="variable"/>
  </w:font>
  <w:font w:name="Symbol">
    <w:charset w:val="ee"/>
    <w:family w:val="roman"/>
    <w:pitch w:val="variable"/>
  </w:font>
  <w:font w:name="Arial">
    <w:charset w:val="ee"/>
    <w:family w:val="roman"/>
    <w:pitch w:val="variable"/>
  </w:font>
  <w:font w:name="Tahoma">
    <w:charset w:val="ee"/>
    <w:family w:val="roman"/>
    <w:pitch w:val="variable"/>
  </w:font>
  <w:font w:name="Liberation Mono">
    <w:altName w:val="Courier New"/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opka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18</w:t>
    </w:r>
    <w:r>
      <w:rPr/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Gwka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Nagwek1"/>
      <w:numFmt w:val="decimal"/>
      <w:suff w:val="nothing"/>
      <w:lvlText w:val="%1."/>
      <w:lvlJc w:val="left"/>
      <w:pPr>
        <w:ind w:left="0" w:hanging="0"/>
      </w:pPr>
    </w:lvl>
    <w:lvl w:ilvl="1">
      <w:start w:val="1"/>
      <w:pStyle w:val="Nagwek2"/>
      <w:numFmt w:val="decimal"/>
      <w:lvlText w:val="%2."/>
      <w:lvlJc w:val="left"/>
      <w:pPr>
        <w:ind w:left="0" w:hanging="0"/>
      </w:pPr>
    </w:lvl>
    <w:lvl w:ilvl="2">
      <w:start w:val="1"/>
      <w:pStyle w:val="Nagwek3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pStyle w:val="Nagwek5"/>
      <w:numFmt w:val="none"/>
      <w:suff w:val="nothing"/>
      <w:lvlText w:val=""/>
      <w:lvlJc w:val="left"/>
      <w:pPr>
        <w:ind w:left="0" w:hanging="0"/>
      </w:pPr>
    </w:lvl>
    <w:lvl w:ilvl="5">
      <w:start w:val="1"/>
      <w:pStyle w:val="Nagwek6"/>
      <w:numFmt w:val="none"/>
      <w:suff w:val="nothing"/>
      <w:lvlText w:val=""/>
      <w:lvlJc w:val="left"/>
      <w:pPr>
        <w:ind w:left="0" w:hanging="0"/>
      </w:pPr>
    </w:lvl>
    <w:lvl w:ilvl="6">
      <w:start w:val="1"/>
      <w:pStyle w:val="Nagwek7"/>
      <w:numFmt w:val="none"/>
      <w:suff w:val="nothing"/>
      <w:lvlText w:val=""/>
      <w:lvlJc w:val="left"/>
      <w:pPr>
        <w:ind w:left="0" w:hanging="0"/>
      </w:pPr>
    </w:lvl>
    <w:lvl w:ilvl="7">
      <w:start w:val="1"/>
      <w:pStyle w:val="Nagwek8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3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4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5"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sz w:val="22"/>
        <w:b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lvl w:ilvl="0">
      <w:start w:val="1"/>
      <w:numFmt w:val="bullet"/>
      <w:lvlText w:val=""/>
      <w:lvlJc w:val="left"/>
      <w:pPr>
        <w:ind w:left="862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w="http://schemas.openxmlformats.org/wordprocessingml/2006/main">
  <w:zoom w:percent="100"/>
  <w:defaultTabStop w:val="709"/>
  <w:autoHyphenation w:val="fals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pl-PL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suppressAutoHyphens w:val="true"/>
      <w:bidi w:val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pl-PL" w:eastAsia="zh-CN" w:bidi="ar-SA"/>
    </w:rPr>
  </w:style>
  <w:style w:type="paragraph" w:styleId="Nagwek1">
    <w:name w:val="Heading 1"/>
    <w:basedOn w:val="Normal"/>
    <w:next w:val="Normal"/>
    <w:qFormat/>
    <w:pPr>
      <w:keepNext w:val="true"/>
      <w:numPr>
        <w:ilvl w:val="0"/>
        <w:numId w:val="1"/>
      </w:numPr>
      <w:spacing w:before="240" w:after="60"/>
      <w:outlineLvl w:val="0"/>
    </w:pPr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paragraph" w:styleId="Nagwek2">
    <w:name w:val="Heading 2"/>
    <w:basedOn w:val="Normal"/>
    <w:next w:val="Normal"/>
    <w:qFormat/>
    <w:pPr>
      <w:keepNext w:val="true"/>
      <w:numPr>
        <w:ilvl w:val="1"/>
        <w:numId w:val="1"/>
      </w:numPr>
      <w:spacing w:before="240" w:after="60"/>
      <w:outlineLvl w:val="1"/>
    </w:pPr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paragraph" w:styleId="Nagwek3">
    <w:name w:val="Heading 3"/>
    <w:basedOn w:val="Nagwek"/>
    <w:next w:val="Tretekstu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Nagwek5">
    <w:name w:val="Heading 5"/>
    <w:basedOn w:val="Normal"/>
    <w:next w:val="Normal"/>
    <w:qFormat/>
    <w:pPr>
      <w:numPr>
        <w:ilvl w:val="4"/>
        <w:numId w:val="1"/>
      </w:numPr>
      <w:spacing w:before="240" w:after="60"/>
      <w:ind w:left="417" w:right="0" w:hanging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rFonts w:ascii="Calibri" w:hAnsi="Calibri" w:eastAsia="Times New Roman" w:cs="Times New Roman"/>
      <w:b/>
      <w:bCs/>
      <w:sz w:val="22"/>
      <w:szCs w:val="22"/>
    </w:rPr>
  </w:style>
  <w:style w:type="paragraph" w:styleId="Nagwek7">
    <w:name w:val="Heading 7"/>
    <w:basedOn w:val="Nagwek"/>
    <w:next w:val="Tretekstu"/>
    <w:qFormat/>
    <w:pPr>
      <w:widowControl w:val="false"/>
      <w:numPr>
        <w:ilvl w:val="6"/>
        <w:numId w:val="1"/>
      </w:numPr>
      <w:bidi w:val="0"/>
      <w:spacing w:before="60" w:after="60"/>
      <w:jc w:val="left"/>
      <w:outlineLvl w:val="6"/>
    </w:pPr>
    <w:rPr>
      <w:rFonts w:ascii="Liberation Serif" w:hAnsi="Liberation Serif" w:eastAsia="NSimSun" w:cs="Arial"/>
      <w:b/>
      <w:bCs/>
      <w:color w:val="auto"/>
      <w:kern w:val="0"/>
      <w:sz w:val="22"/>
      <w:szCs w:val="22"/>
      <w:lang w:val="pl-PL" w:eastAsia="zh-CN" w:bidi="hi-IN"/>
    </w:rPr>
  </w:style>
  <w:style w:type="paragraph" w:styleId="Nagwek8">
    <w:name w:val="Heading 8"/>
    <w:basedOn w:val="Nagwek"/>
    <w:next w:val="Tretekstu"/>
    <w:qFormat/>
    <w:pPr>
      <w:widowControl w:val="false"/>
      <w:numPr>
        <w:ilvl w:val="7"/>
        <w:numId w:val="1"/>
      </w:numPr>
      <w:bidi w:val="0"/>
      <w:spacing w:before="60" w:after="60"/>
      <w:jc w:val="left"/>
      <w:outlineLvl w:val="7"/>
    </w:pPr>
    <w:rPr>
      <w:rFonts w:ascii="Liberation Serif" w:hAnsi="Liberation Serif" w:eastAsia="NSimSun" w:cs="Arial"/>
      <w:b/>
      <w:bCs/>
      <w:i/>
      <w:iCs/>
      <w:color w:val="auto"/>
      <w:kern w:val="0"/>
      <w:sz w:val="22"/>
      <w:szCs w:val="22"/>
      <w:lang w:val="pl-PL" w:eastAsia="zh-CN" w:bidi="hi-IN"/>
    </w:rPr>
  </w:style>
  <w:style w:type="character" w:styleId="WW8Num1z0">
    <w:name w:val="WW8Num1z0"/>
    <w:qFormat/>
    <w:rPr/>
  </w:style>
  <w:style w:type="character" w:styleId="WW8Num1z1">
    <w:name w:val="WW8Num1z1"/>
    <w:qFormat/>
    <w:rPr/>
  </w:style>
  <w:style w:type="character" w:styleId="WW8Num1z2">
    <w:name w:val="WW8Num1z2"/>
    <w:qFormat/>
    <w:rPr/>
  </w:style>
  <w:style w:type="character" w:styleId="WW8Num1z3">
    <w:name w:val="WW8Num1z3"/>
    <w:qFormat/>
    <w:rPr/>
  </w:style>
  <w:style w:type="character" w:styleId="WW8Num1z4">
    <w:name w:val="WW8Num1z4"/>
    <w:qFormat/>
    <w:rPr/>
  </w:style>
  <w:style w:type="character" w:styleId="WW8Num1z5">
    <w:name w:val="WW8Num1z5"/>
    <w:qFormat/>
    <w:rPr/>
  </w:style>
  <w:style w:type="character" w:styleId="WW8Num1z6">
    <w:name w:val="WW8Num1z6"/>
    <w:qFormat/>
    <w:rPr/>
  </w:style>
  <w:style w:type="character" w:styleId="WW8Num1z7">
    <w:name w:val="WW8Num1z7"/>
    <w:qFormat/>
    <w:rPr/>
  </w:style>
  <w:style w:type="character" w:styleId="WW8Num1z8">
    <w:name w:val="WW8Num1z8"/>
    <w:qFormat/>
    <w:rPr/>
  </w:style>
  <w:style w:type="character" w:styleId="WW8Num2z0">
    <w:name w:val="WW8Num2z0"/>
    <w:qFormat/>
    <w:rPr>
      <w:sz w:val="24"/>
      <w:szCs w:val="24"/>
    </w:rPr>
  </w:style>
  <w:style w:type="character" w:styleId="WW8Num3z0">
    <w:name w:val="WW8Num3z0"/>
    <w:qFormat/>
    <w:rPr>
      <w:rFonts w:ascii="Wingdings" w:hAnsi="Wingdings" w:cs="Wingdings"/>
    </w:rPr>
  </w:style>
  <w:style w:type="character" w:styleId="WW8Num3z1">
    <w:name w:val="WW8Num3z1"/>
    <w:qFormat/>
    <w:rPr>
      <w:rFonts w:ascii="Courier New" w:hAnsi="Courier New" w:cs="Courier New"/>
    </w:rPr>
  </w:style>
  <w:style w:type="character" w:styleId="WW8Num3z3">
    <w:name w:val="WW8Num3z3"/>
    <w:qFormat/>
    <w:rPr>
      <w:rFonts w:ascii="Symbol" w:hAnsi="Symbol" w:cs="Symbol"/>
    </w:rPr>
  </w:style>
  <w:style w:type="character" w:styleId="WW8Num4z0">
    <w:name w:val="WW8Num4z0"/>
    <w:qFormat/>
    <w:rPr/>
  </w:style>
  <w:style w:type="character" w:styleId="WW8Num5z0">
    <w:name w:val="WW8Num5z0"/>
    <w:qFormat/>
    <w:rPr/>
  </w:style>
  <w:style w:type="character" w:styleId="WW8Num6z0">
    <w:name w:val="WW8Num6z0"/>
    <w:qFormat/>
    <w:rPr>
      <w:rFonts w:ascii="Arial" w:hAnsi="Arial" w:cs="Arial"/>
      <w:b/>
      <w:i w:val="false"/>
      <w:sz w:val="24"/>
      <w:u w:val="none"/>
    </w:rPr>
  </w:style>
  <w:style w:type="character" w:styleId="WW8Num7z0">
    <w:name w:val="WW8Num7z0"/>
    <w:qFormat/>
    <w:rPr>
      <w:rFonts w:ascii="Symbol" w:hAnsi="Symbol" w:cs="Symbol"/>
      <w:sz w:val="24"/>
      <w:szCs w:val="24"/>
    </w:rPr>
  </w:style>
  <w:style w:type="character" w:styleId="WW8Num8z0">
    <w:name w:val="WW8Num8z0"/>
    <w:qFormat/>
    <w:rPr>
      <w:rFonts w:ascii="Symbol" w:hAnsi="Symbol" w:cs="Symbol"/>
      <w:sz w:val="24"/>
      <w:szCs w:val="24"/>
    </w:rPr>
  </w:style>
  <w:style w:type="character" w:styleId="WW8Num9z0">
    <w:name w:val="WW8Num9z0"/>
    <w:qFormat/>
    <w:rPr/>
  </w:style>
  <w:style w:type="character" w:styleId="WW8Num10z0">
    <w:name w:val="WW8Num10z0"/>
    <w:qFormat/>
    <w:rPr>
      <w:rFonts w:ascii="Times New Roman" w:hAnsi="Times New Roman" w:cs="Times New Roman"/>
      <w:b/>
      <w:sz w:val="28"/>
      <w:szCs w:val="24"/>
    </w:rPr>
  </w:style>
  <w:style w:type="character" w:styleId="WW8Num10z1">
    <w:name w:val="WW8Num10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0z2">
    <w:name w:val="WW8Num10z2"/>
    <w:qFormat/>
    <w:rPr/>
  </w:style>
  <w:style w:type="character" w:styleId="WW8Num10z3">
    <w:name w:val="WW8Num10z3"/>
    <w:qFormat/>
    <w:rPr/>
  </w:style>
  <w:style w:type="character" w:styleId="WW8Num10z4">
    <w:name w:val="WW8Num10z4"/>
    <w:qFormat/>
    <w:rPr/>
  </w:style>
  <w:style w:type="character" w:styleId="WW8Num10z5">
    <w:name w:val="WW8Num10z5"/>
    <w:qFormat/>
    <w:rPr/>
  </w:style>
  <w:style w:type="character" w:styleId="WW8Num10z6">
    <w:name w:val="WW8Num10z6"/>
    <w:qFormat/>
    <w:rPr/>
  </w:style>
  <w:style w:type="character" w:styleId="WW8Num10z7">
    <w:name w:val="WW8Num10z7"/>
    <w:qFormat/>
    <w:rPr/>
  </w:style>
  <w:style w:type="character" w:styleId="WW8Num10z8">
    <w:name w:val="WW8Num10z8"/>
    <w:qFormat/>
    <w:rPr/>
  </w:style>
  <w:style w:type="character" w:styleId="WW8Num11z0">
    <w:name w:val="WW8Num11z0"/>
    <w:qFormat/>
    <w:rPr>
      <w:rFonts w:ascii="Symbol" w:hAnsi="Symbol" w:cs="Symbol"/>
      <w:sz w:val="24"/>
      <w:szCs w:val="24"/>
    </w:rPr>
  </w:style>
  <w:style w:type="character" w:styleId="WW8Num12z0">
    <w:name w:val="WW8Num12z0"/>
    <w:qFormat/>
    <w:rPr>
      <w:rFonts w:ascii="Symbol" w:hAnsi="Symbol" w:cs="Symbol"/>
      <w:sz w:val="24"/>
      <w:szCs w:val="24"/>
    </w:rPr>
  </w:style>
  <w:style w:type="character" w:styleId="WW8Num13z0">
    <w:name w:val="WW8Num13z0"/>
    <w:qFormat/>
    <w:rPr>
      <w:rFonts w:ascii="Symbol" w:hAnsi="Symbol" w:cs="Symbol"/>
      <w:sz w:val="24"/>
      <w:szCs w:val="24"/>
    </w:rPr>
  </w:style>
  <w:style w:type="character" w:styleId="WW8Num14z0">
    <w:name w:val="WW8Num14z0"/>
    <w:qFormat/>
    <w:rPr>
      <w:rFonts w:ascii="Symbol" w:hAnsi="Symbol" w:cs="Symbol"/>
      <w:sz w:val="24"/>
      <w:szCs w:val="24"/>
    </w:rPr>
  </w:style>
  <w:style w:type="character" w:styleId="WW8Num11z1">
    <w:name w:val="WW8Num11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1z2">
    <w:name w:val="WW8Num11z2"/>
    <w:qFormat/>
    <w:rPr/>
  </w:style>
  <w:style w:type="character" w:styleId="WW8Num11z3">
    <w:name w:val="WW8Num11z3"/>
    <w:qFormat/>
    <w:rPr/>
  </w:style>
  <w:style w:type="character" w:styleId="WW8Num11z4">
    <w:name w:val="WW8Num11z4"/>
    <w:qFormat/>
    <w:rPr/>
  </w:style>
  <w:style w:type="character" w:styleId="WW8Num11z5">
    <w:name w:val="WW8Num11z5"/>
    <w:qFormat/>
    <w:rPr/>
  </w:style>
  <w:style w:type="character" w:styleId="WW8Num11z6">
    <w:name w:val="WW8Num11z6"/>
    <w:qFormat/>
    <w:rPr/>
  </w:style>
  <w:style w:type="character" w:styleId="WW8Num11z7">
    <w:name w:val="WW8Num11z7"/>
    <w:qFormat/>
    <w:rPr/>
  </w:style>
  <w:style w:type="character" w:styleId="WW8Num11z8">
    <w:name w:val="WW8Num11z8"/>
    <w:qFormat/>
    <w:rPr/>
  </w:style>
  <w:style w:type="character" w:styleId="WW8Num15z0">
    <w:name w:val="WW8Num15z0"/>
    <w:qFormat/>
    <w:rPr>
      <w:rFonts w:ascii="Symbol" w:hAnsi="Symbol" w:cs="Symbol"/>
      <w:sz w:val="24"/>
      <w:szCs w:val="24"/>
    </w:rPr>
  </w:style>
  <w:style w:type="character" w:styleId="WW8Num16z0">
    <w:name w:val="WW8Num16z0"/>
    <w:qFormat/>
    <w:rPr>
      <w:rFonts w:ascii="Symbol" w:hAnsi="Symbol" w:cs="Symbol"/>
      <w:sz w:val="24"/>
      <w:szCs w:val="24"/>
    </w:rPr>
  </w:style>
  <w:style w:type="character" w:styleId="Domylnaczcionkaakapitu">
    <w:name w:val="Domyślna czcionka akapitu"/>
    <w:qFormat/>
    <w:rPr/>
  </w:style>
  <w:style w:type="character" w:styleId="WW8Num17z0">
    <w:name w:val="WW8Num17z0"/>
    <w:qFormat/>
    <w:rPr>
      <w:rFonts w:ascii="Symbol" w:hAnsi="Symbol" w:cs="Symbol"/>
    </w:rPr>
  </w:style>
  <w:style w:type="character" w:styleId="Domylnaczcionkaakapitu5">
    <w:name w:val="Domyślna czcionka akapitu5"/>
    <w:qFormat/>
    <w:rPr/>
  </w:style>
  <w:style w:type="character" w:styleId="WW8Num14z1">
    <w:name w:val="WW8Num14z1"/>
    <w:qFormat/>
    <w:rPr>
      <w:rFonts w:ascii="Courier New" w:hAnsi="Courier New" w:cs="Courier New"/>
    </w:rPr>
  </w:style>
  <w:style w:type="character" w:styleId="WW8Num14z2">
    <w:name w:val="WW8Num14z2"/>
    <w:qFormat/>
    <w:rPr>
      <w:rFonts w:ascii="Wingdings" w:hAnsi="Wingdings" w:cs="Wingdings"/>
    </w:rPr>
  </w:style>
  <w:style w:type="character" w:styleId="WW8Num15z1">
    <w:name w:val="WW8Num15z1"/>
    <w:qFormat/>
    <w:rPr>
      <w:rFonts w:ascii="Courier New" w:hAnsi="Courier New" w:cs="Courier New"/>
    </w:rPr>
  </w:style>
  <w:style w:type="character" w:styleId="WW8Num15z2">
    <w:name w:val="WW8Num15z2"/>
    <w:qFormat/>
    <w:rPr>
      <w:rFonts w:ascii="Wingdings" w:hAnsi="Wingdings" w:cs="Wingdings"/>
    </w:rPr>
  </w:style>
  <w:style w:type="character" w:styleId="WW8Num16z1">
    <w:name w:val="WW8Num16z1"/>
    <w:qFormat/>
    <w:rPr>
      <w:rFonts w:ascii="Courier New" w:hAnsi="Courier New" w:cs="Courier New"/>
    </w:rPr>
  </w:style>
  <w:style w:type="character" w:styleId="WW8Num16z2">
    <w:name w:val="WW8Num16z2"/>
    <w:qFormat/>
    <w:rPr>
      <w:rFonts w:ascii="Wingdings" w:hAnsi="Wingdings" w:cs="Wingdings"/>
    </w:rPr>
  </w:style>
  <w:style w:type="character" w:styleId="WW8Num17z1">
    <w:name w:val="WW8Num17z1"/>
    <w:qFormat/>
    <w:rPr>
      <w:rFonts w:ascii="Courier New" w:hAnsi="Courier New" w:cs="Courier New"/>
    </w:rPr>
  </w:style>
  <w:style w:type="character" w:styleId="WW8Num17z2">
    <w:name w:val="WW8Num17z2"/>
    <w:qFormat/>
    <w:rPr>
      <w:rFonts w:ascii="Wingdings" w:hAnsi="Wingdings" w:cs="Wingdings"/>
    </w:rPr>
  </w:style>
  <w:style w:type="character" w:styleId="WW8Num18z0">
    <w:name w:val="WW8Num18z0"/>
    <w:qFormat/>
    <w:rPr>
      <w:rFonts w:ascii="Symbol" w:hAnsi="Symbol" w:cs="Symbol"/>
    </w:rPr>
  </w:style>
  <w:style w:type="character" w:styleId="WW8Num18z1">
    <w:name w:val="WW8Num18z1"/>
    <w:qFormat/>
    <w:rPr>
      <w:rFonts w:ascii="Courier New" w:hAnsi="Courier New" w:cs="Courier New"/>
    </w:rPr>
  </w:style>
  <w:style w:type="character" w:styleId="WW8Num18z2">
    <w:name w:val="WW8Num18z2"/>
    <w:qFormat/>
    <w:rPr>
      <w:rFonts w:ascii="Wingdings" w:hAnsi="Wingdings" w:cs="Wingdings"/>
    </w:rPr>
  </w:style>
  <w:style w:type="character" w:styleId="WW8Num19z0">
    <w:name w:val="WW8Num19z0"/>
    <w:qFormat/>
    <w:rPr>
      <w:rFonts w:ascii="Symbol" w:hAnsi="Symbol" w:cs="Symbol"/>
    </w:rPr>
  </w:style>
  <w:style w:type="character" w:styleId="WW8Num19z1">
    <w:name w:val="WW8Num19z1"/>
    <w:qFormat/>
    <w:rPr>
      <w:rFonts w:ascii="Courier New" w:hAnsi="Courier New" w:cs="Courier New"/>
    </w:rPr>
  </w:style>
  <w:style w:type="character" w:styleId="WW8Num19z2">
    <w:name w:val="WW8Num19z2"/>
    <w:qFormat/>
    <w:rPr>
      <w:rFonts w:ascii="Wingdings" w:hAnsi="Wingdings" w:cs="Wingdings"/>
    </w:rPr>
  </w:style>
  <w:style w:type="character" w:styleId="Domylnaczcionkaakapitu4">
    <w:name w:val="Domyślna czcionka akapitu4"/>
    <w:qFormat/>
    <w:rPr/>
  </w:style>
  <w:style w:type="character" w:styleId="WW8Num14z3">
    <w:name w:val="WW8Num14z3"/>
    <w:qFormat/>
    <w:rPr>
      <w:rFonts w:ascii="Symbol" w:hAnsi="Symbol" w:cs="Symbol"/>
    </w:rPr>
  </w:style>
  <w:style w:type="character" w:styleId="WW8Num4z1">
    <w:name w:val="WW8Num4z1"/>
    <w:qFormat/>
    <w:rPr>
      <w:rFonts w:ascii="Courier New" w:hAnsi="Courier New" w:cs="Courier New"/>
    </w:rPr>
  </w:style>
  <w:style w:type="character" w:styleId="WW8Num4z3">
    <w:name w:val="WW8Num4z3"/>
    <w:qFormat/>
    <w:rPr>
      <w:rFonts w:ascii="Symbol" w:hAnsi="Symbol" w:cs="Symbol"/>
    </w:rPr>
  </w:style>
  <w:style w:type="character" w:styleId="WW8Num6z1">
    <w:name w:val="WW8Num6z1"/>
    <w:qFormat/>
    <w:rPr/>
  </w:style>
  <w:style w:type="character" w:styleId="WW8Num6z2">
    <w:name w:val="WW8Num6z2"/>
    <w:qFormat/>
    <w:rPr/>
  </w:style>
  <w:style w:type="character" w:styleId="WW8Num6z3">
    <w:name w:val="WW8Num6z3"/>
    <w:qFormat/>
    <w:rPr>
      <w:rFonts w:ascii="Arial" w:hAnsi="Arial" w:cs="Arial"/>
      <w:b/>
      <w:sz w:val="22"/>
      <w:szCs w:val="22"/>
    </w:rPr>
  </w:style>
  <w:style w:type="character" w:styleId="WW8Num6z4">
    <w:name w:val="WW8Num6z4"/>
    <w:qFormat/>
    <w:rPr/>
  </w:style>
  <w:style w:type="character" w:styleId="WW8Num6z5">
    <w:name w:val="WW8Num6z5"/>
    <w:qFormat/>
    <w:rPr/>
  </w:style>
  <w:style w:type="character" w:styleId="WW8Num6z6">
    <w:name w:val="WW8Num6z6"/>
    <w:qFormat/>
    <w:rPr/>
  </w:style>
  <w:style w:type="character" w:styleId="WW8Num6z7">
    <w:name w:val="WW8Num6z7"/>
    <w:qFormat/>
    <w:rPr/>
  </w:style>
  <w:style w:type="character" w:styleId="WW8Num6z8">
    <w:name w:val="WW8Num6z8"/>
    <w:qFormat/>
    <w:rPr/>
  </w:style>
  <w:style w:type="character" w:styleId="WW8Num14z4">
    <w:name w:val="WW8Num14z4"/>
    <w:qFormat/>
    <w:rPr/>
  </w:style>
  <w:style w:type="character" w:styleId="WW8Num14z5">
    <w:name w:val="WW8Num14z5"/>
    <w:qFormat/>
    <w:rPr/>
  </w:style>
  <w:style w:type="character" w:styleId="WW8Num14z6">
    <w:name w:val="WW8Num14z6"/>
    <w:qFormat/>
    <w:rPr/>
  </w:style>
  <w:style w:type="character" w:styleId="WW8Num14z7">
    <w:name w:val="WW8Num14z7"/>
    <w:qFormat/>
    <w:rPr/>
  </w:style>
  <w:style w:type="character" w:styleId="WW8Num14z8">
    <w:name w:val="WW8Num14z8"/>
    <w:qFormat/>
    <w:rPr/>
  </w:style>
  <w:style w:type="character" w:styleId="WW8Num18z3">
    <w:name w:val="WW8Num18z3"/>
    <w:qFormat/>
    <w:rPr/>
  </w:style>
  <w:style w:type="character" w:styleId="WW8Num18z4">
    <w:name w:val="WW8Num18z4"/>
    <w:qFormat/>
    <w:rPr/>
  </w:style>
  <w:style w:type="character" w:styleId="WW8Num18z5">
    <w:name w:val="WW8Num18z5"/>
    <w:qFormat/>
    <w:rPr/>
  </w:style>
  <w:style w:type="character" w:styleId="WW8Num18z6">
    <w:name w:val="WW8Num18z6"/>
    <w:qFormat/>
    <w:rPr/>
  </w:style>
  <w:style w:type="character" w:styleId="WW8Num18z7">
    <w:name w:val="WW8Num18z7"/>
    <w:qFormat/>
    <w:rPr/>
  </w:style>
  <w:style w:type="character" w:styleId="WW8Num18z8">
    <w:name w:val="WW8Num18z8"/>
    <w:qFormat/>
    <w:rPr/>
  </w:style>
  <w:style w:type="character" w:styleId="WW8Num19z3">
    <w:name w:val="WW8Num19z3"/>
    <w:qFormat/>
    <w:rPr/>
  </w:style>
  <w:style w:type="character" w:styleId="WW8Num19z4">
    <w:name w:val="WW8Num19z4"/>
    <w:qFormat/>
    <w:rPr/>
  </w:style>
  <w:style w:type="character" w:styleId="WW8Num19z5">
    <w:name w:val="WW8Num19z5"/>
    <w:qFormat/>
    <w:rPr/>
  </w:style>
  <w:style w:type="character" w:styleId="WW8Num19z6">
    <w:name w:val="WW8Num19z6"/>
    <w:qFormat/>
    <w:rPr/>
  </w:style>
  <w:style w:type="character" w:styleId="WW8Num19z7">
    <w:name w:val="WW8Num19z7"/>
    <w:qFormat/>
    <w:rPr/>
  </w:style>
  <w:style w:type="character" w:styleId="WW8Num19z8">
    <w:name w:val="WW8Num19z8"/>
    <w:qFormat/>
    <w:rPr/>
  </w:style>
  <w:style w:type="character" w:styleId="Domylnaczcionkaakapitu3">
    <w:name w:val="Domyślna czcionka akapitu3"/>
    <w:qFormat/>
    <w:rPr/>
  </w:style>
  <w:style w:type="character" w:styleId="WW8Num7z1">
    <w:name w:val="WW8Num7z1"/>
    <w:qFormat/>
    <w:rPr/>
  </w:style>
  <w:style w:type="character" w:styleId="WW8Num7z2">
    <w:name w:val="WW8Num7z2"/>
    <w:qFormat/>
    <w:rPr/>
  </w:style>
  <w:style w:type="character" w:styleId="WW8Num7z3">
    <w:name w:val="WW8Num7z3"/>
    <w:qFormat/>
    <w:rPr>
      <w:rFonts w:ascii="Arial" w:hAnsi="Arial" w:cs="Arial"/>
      <w:b/>
      <w:sz w:val="22"/>
      <w:szCs w:val="22"/>
    </w:rPr>
  </w:style>
  <w:style w:type="character" w:styleId="WW8Num7z4">
    <w:name w:val="WW8Num7z4"/>
    <w:qFormat/>
    <w:rPr/>
  </w:style>
  <w:style w:type="character" w:styleId="WW8Num7z5">
    <w:name w:val="WW8Num7z5"/>
    <w:qFormat/>
    <w:rPr/>
  </w:style>
  <w:style w:type="character" w:styleId="WW8Num7z6">
    <w:name w:val="WW8Num7z6"/>
    <w:qFormat/>
    <w:rPr/>
  </w:style>
  <w:style w:type="character" w:styleId="WW8Num7z7">
    <w:name w:val="WW8Num7z7"/>
    <w:qFormat/>
    <w:rPr/>
  </w:style>
  <w:style w:type="character" w:styleId="WW8Num7z8">
    <w:name w:val="WW8Num7z8"/>
    <w:qFormat/>
    <w:rPr/>
  </w:style>
  <w:style w:type="character" w:styleId="WW8Num15z3">
    <w:name w:val="WW8Num15z3"/>
    <w:qFormat/>
    <w:rPr/>
  </w:style>
  <w:style w:type="character" w:styleId="WW8Num15z4">
    <w:name w:val="WW8Num15z4"/>
    <w:qFormat/>
    <w:rPr/>
  </w:style>
  <w:style w:type="character" w:styleId="WW8Num15z5">
    <w:name w:val="WW8Num15z5"/>
    <w:qFormat/>
    <w:rPr/>
  </w:style>
  <w:style w:type="character" w:styleId="WW8Num15z6">
    <w:name w:val="WW8Num15z6"/>
    <w:qFormat/>
    <w:rPr/>
  </w:style>
  <w:style w:type="character" w:styleId="WW8Num15z7">
    <w:name w:val="WW8Num15z7"/>
    <w:qFormat/>
    <w:rPr/>
  </w:style>
  <w:style w:type="character" w:styleId="WW8Num15z8">
    <w:name w:val="WW8Num15z8"/>
    <w:qFormat/>
    <w:rPr/>
  </w:style>
  <w:style w:type="character" w:styleId="Domylnaczcionkaakapitu2">
    <w:name w:val="Domyślna czcionka akapitu2"/>
    <w:qFormat/>
    <w:rPr/>
  </w:style>
  <w:style w:type="character" w:styleId="WW8Num2z1">
    <w:name w:val="WW8Num2z1"/>
    <w:qFormat/>
    <w:rPr>
      <w:rFonts w:ascii="Courier New" w:hAnsi="Courier New" w:cs="Courier New"/>
    </w:rPr>
  </w:style>
  <w:style w:type="character" w:styleId="WW8Num2z2">
    <w:name w:val="WW8Num2z2"/>
    <w:qFormat/>
    <w:rPr>
      <w:rFonts w:ascii="Wingdings" w:hAnsi="Wingdings" w:cs="Wingdings"/>
    </w:rPr>
  </w:style>
  <w:style w:type="character" w:styleId="WW8Num3z2">
    <w:name w:val="WW8Num3z2"/>
    <w:qFormat/>
    <w:rPr/>
  </w:style>
  <w:style w:type="character" w:styleId="WW8Num3z4">
    <w:name w:val="WW8Num3z4"/>
    <w:qFormat/>
    <w:rPr/>
  </w:style>
  <w:style w:type="character" w:styleId="WW8Num3z5">
    <w:name w:val="WW8Num3z5"/>
    <w:qFormat/>
    <w:rPr/>
  </w:style>
  <w:style w:type="character" w:styleId="WW8Num3z6">
    <w:name w:val="WW8Num3z6"/>
    <w:qFormat/>
    <w:rPr/>
  </w:style>
  <w:style w:type="character" w:styleId="WW8Num3z7">
    <w:name w:val="WW8Num3z7"/>
    <w:qFormat/>
    <w:rPr/>
  </w:style>
  <w:style w:type="character" w:styleId="WW8Num3z8">
    <w:name w:val="WW8Num3z8"/>
    <w:qFormat/>
    <w:rPr/>
  </w:style>
  <w:style w:type="character" w:styleId="WW8Num4z2">
    <w:name w:val="WW8Num4z2"/>
    <w:qFormat/>
    <w:rPr>
      <w:rFonts w:ascii="Wingdings" w:hAnsi="Wingdings" w:cs="Wingdings"/>
    </w:rPr>
  </w:style>
  <w:style w:type="character" w:styleId="WW8Num5z1">
    <w:name w:val="WW8Num5z1"/>
    <w:qFormat/>
    <w:rPr>
      <w:rFonts w:ascii="Courier New" w:hAnsi="Courier New" w:cs="Courier New"/>
    </w:rPr>
  </w:style>
  <w:style w:type="character" w:styleId="WW8Num5z3">
    <w:name w:val="WW8Num5z3"/>
    <w:qFormat/>
    <w:rPr>
      <w:rFonts w:ascii="Symbol" w:hAnsi="Symbol" w:cs="Symbol"/>
    </w:rPr>
  </w:style>
  <w:style w:type="character" w:styleId="WW8Num8z1">
    <w:name w:val="WW8Num8z1"/>
    <w:qFormat/>
    <w:rPr>
      <w:rFonts w:ascii="Courier New" w:hAnsi="Courier New" w:cs="Courier New"/>
    </w:rPr>
  </w:style>
  <w:style w:type="character" w:styleId="WW8Num8z2">
    <w:name w:val="WW8Num8z2"/>
    <w:qFormat/>
    <w:rPr>
      <w:rFonts w:ascii="Wingdings" w:hAnsi="Wingdings" w:cs="Wingdings"/>
    </w:rPr>
  </w:style>
  <w:style w:type="character" w:styleId="WW8Num9z1">
    <w:name w:val="WW8Num9z1"/>
    <w:qFormat/>
    <w:rPr/>
  </w:style>
  <w:style w:type="character" w:styleId="WW8Num9z2">
    <w:name w:val="WW8Num9z2"/>
    <w:qFormat/>
    <w:rPr/>
  </w:style>
  <w:style w:type="character" w:styleId="WW8Num9z3">
    <w:name w:val="WW8Num9z3"/>
    <w:qFormat/>
    <w:rPr>
      <w:rFonts w:ascii="Arial" w:hAnsi="Arial" w:cs="Arial"/>
      <w:b/>
      <w:sz w:val="22"/>
      <w:szCs w:val="22"/>
    </w:rPr>
  </w:style>
  <w:style w:type="character" w:styleId="WW8Num9z4">
    <w:name w:val="WW8Num9z4"/>
    <w:qFormat/>
    <w:rPr/>
  </w:style>
  <w:style w:type="character" w:styleId="WW8Num9z5">
    <w:name w:val="WW8Num9z5"/>
    <w:qFormat/>
    <w:rPr/>
  </w:style>
  <w:style w:type="character" w:styleId="WW8Num9z6">
    <w:name w:val="WW8Num9z6"/>
    <w:qFormat/>
    <w:rPr/>
  </w:style>
  <w:style w:type="character" w:styleId="WW8Num9z7">
    <w:name w:val="WW8Num9z7"/>
    <w:qFormat/>
    <w:rPr/>
  </w:style>
  <w:style w:type="character" w:styleId="WW8Num9z8">
    <w:name w:val="WW8Num9z8"/>
    <w:qFormat/>
    <w:rPr/>
  </w:style>
  <w:style w:type="character" w:styleId="WW8Num12z1">
    <w:name w:val="WW8Num12z1"/>
    <w:qFormat/>
    <w:rPr/>
  </w:style>
  <w:style w:type="character" w:styleId="WW8Num12z2">
    <w:name w:val="WW8Num12z2"/>
    <w:qFormat/>
    <w:rPr/>
  </w:style>
  <w:style w:type="character" w:styleId="WW8Num12z3">
    <w:name w:val="WW8Num12z3"/>
    <w:qFormat/>
    <w:rPr/>
  </w:style>
  <w:style w:type="character" w:styleId="WW8Num12z4">
    <w:name w:val="WW8Num12z4"/>
    <w:qFormat/>
    <w:rPr/>
  </w:style>
  <w:style w:type="character" w:styleId="WW8Num12z5">
    <w:name w:val="WW8Num12z5"/>
    <w:qFormat/>
    <w:rPr/>
  </w:style>
  <w:style w:type="character" w:styleId="WW8Num12z6">
    <w:name w:val="WW8Num12z6"/>
    <w:qFormat/>
    <w:rPr/>
  </w:style>
  <w:style w:type="character" w:styleId="WW8Num12z7">
    <w:name w:val="WW8Num12z7"/>
    <w:qFormat/>
    <w:rPr/>
  </w:style>
  <w:style w:type="character" w:styleId="WW8Num12z8">
    <w:name w:val="WW8Num12z8"/>
    <w:qFormat/>
    <w:rPr/>
  </w:style>
  <w:style w:type="character" w:styleId="WW8Num13z1">
    <w:name w:val="WW8Num13z1"/>
    <w:qFormat/>
    <w:rPr>
      <w:rFonts w:ascii="Courier New" w:hAnsi="Courier New" w:cs="Courier New"/>
    </w:rPr>
  </w:style>
  <w:style w:type="character" w:styleId="WW8Num13z2">
    <w:name w:val="WW8Num13z2"/>
    <w:qFormat/>
    <w:rPr>
      <w:rFonts w:ascii="Wingdings" w:hAnsi="Wingdings" w:cs="Wingdings"/>
    </w:rPr>
  </w:style>
  <w:style w:type="character" w:styleId="WW8Num20z0">
    <w:name w:val="WW8Num20z0"/>
    <w:qFormat/>
    <w:rPr>
      <w:rFonts w:ascii="Symbol" w:hAnsi="Symbol" w:cs="Symbol"/>
    </w:rPr>
  </w:style>
  <w:style w:type="character" w:styleId="WW8Num20z1">
    <w:name w:val="WW8Num20z1"/>
    <w:qFormat/>
    <w:rPr>
      <w:rFonts w:ascii="Courier New" w:hAnsi="Courier New" w:cs="Courier New"/>
    </w:rPr>
  </w:style>
  <w:style w:type="character" w:styleId="WW8Num20z2">
    <w:name w:val="WW8Num20z2"/>
    <w:qFormat/>
    <w:rPr>
      <w:rFonts w:ascii="Wingdings" w:hAnsi="Wingdings" w:cs="Wingdings"/>
    </w:rPr>
  </w:style>
  <w:style w:type="character" w:styleId="WW8Num21z0">
    <w:name w:val="WW8Num21z0"/>
    <w:qFormat/>
    <w:rPr>
      <w:rFonts w:ascii="Symbol" w:hAnsi="Symbol" w:cs="Symbol"/>
    </w:rPr>
  </w:style>
  <w:style w:type="character" w:styleId="WW8Num21z1">
    <w:name w:val="WW8Num21z1"/>
    <w:qFormat/>
    <w:rPr>
      <w:rFonts w:ascii="Courier New" w:hAnsi="Courier New" w:cs="Courier New"/>
    </w:rPr>
  </w:style>
  <w:style w:type="character" w:styleId="WW8Num21z2">
    <w:name w:val="WW8Num21z2"/>
    <w:qFormat/>
    <w:rPr>
      <w:rFonts w:ascii="Wingdings" w:hAnsi="Wingdings" w:cs="Wingdings"/>
    </w:rPr>
  </w:style>
  <w:style w:type="character" w:styleId="WW8Num22z0">
    <w:name w:val="WW8Num22z0"/>
    <w:qFormat/>
    <w:rPr/>
  </w:style>
  <w:style w:type="character" w:styleId="WW8Num22z1">
    <w:name w:val="WW8Num22z1"/>
    <w:qFormat/>
    <w:rPr/>
  </w:style>
  <w:style w:type="character" w:styleId="WW8Num22z2">
    <w:name w:val="WW8Num22z2"/>
    <w:qFormat/>
    <w:rPr/>
  </w:style>
  <w:style w:type="character" w:styleId="WW8Num22z3">
    <w:name w:val="WW8Num22z3"/>
    <w:qFormat/>
    <w:rPr/>
  </w:style>
  <w:style w:type="character" w:styleId="WW8Num22z4">
    <w:name w:val="WW8Num22z4"/>
    <w:qFormat/>
    <w:rPr/>
  </w:style>
  <w:style w:type="character" w:styleId="WW8Num22z5">
    <w:name w:val="WW8Num22z5"/>
    <w:qFormat/>
    <w:rPr/>
  </w:style>
  <w:style w:type="character" w:styleId="WW8Num22z6">
    <w:name w:val="WW8Num22z6"/>
    <w:qFormat/>
    <w:rPr/>
  </w:style>
  <w:style w:type="character" w:styleId="WW8Num22z7">
    <w:name w:val="WW8Num22z7"/>
    <w:qFormat/>
    <w:rPr/>
  </w:style>
  <w:style w:type="character" w:styleId="WW8Num22z8">
    <w:name w:val="WW8Num22z8"/>
    <w:qFormat/>
    <w:rPr/>
  </w:style>
  <w:style w:type="character" w:styleId="Domylnaczcionkaakapitu1">
    <w:name w:val="Domyślna czcionka akapitu1"/>
    <w:qFormat/>
    <w:rPr/>
  </w:style>
  <w:style w:type="character" w:styleId="ZnakZnak5">
    <w:name w:val=" Znak Znak5"/>
    <w:qFormat/>
    <w:rPr>
      <w:rFonts w:ascii="Times New Roman" w:hAnsi="Times New Roman" w:cs="Times New Roman"/>
      <w:b/>
      <w:bCs/>
      <w:i/>
      <w:iCs/>
      <w:sz w:val="26"/>
      <w:szCs w:val="26"/>
    </w:rPr>
  </w:style>
  <w:style w:type="character" w:styleId="ZnakZnak3">
    <w:name w:val=" Znak Znak3"/>
    <w:qFormat/>
    <w:rPr>
      <w:rFonts w:ascii="Arial" w:hAnsi="Arial" w:cs="Arial"/>
      <w:b/>
      <w:bCs/>
      <w:sz w:val="20"/>
      <w:szCs w:val="20"/>
    </w:rPr>
  </w:style>
  <w:style w:type="character" w:styleId="ZnakZnak2">
    <w:name w:val=" Znak Znak2"/>
    <w:qFormat/>
    <w:rPr>
      <w:rFonts w:ascii="Times New Roman" w:hAnsi="Times New Roman" w:cs="Times New Roman"/>
      <w:sz w:val="20"/>
      <w:szCs w:val="20"/>
    </w:rPr>
  </w:style>
  <w:style w:type="character" w:styleId="ZnakZnak1">
    <w:name w:val=" Znak Znak1"/>
    <w:qFormat/>
    <w:rPr>
      <w:rFonts w:ascii="Times New Roman" w:hAnsi="Times New Roman" w:cs="Times New Roman"/>
      <w:sz w:val="20"/>
      <w:szCs w:val="20"/>
    </w:rPr>
  </w:style>
  <w:style w:type="character" w:styleId="Wyrnienie">
    <w:name w:val="Wyróżnienie"/>
    <w:qFormat/>
    <w:rPr>
      <w:i/>
      <w:iCs/>
    </w:rPr>
  </w:style>
  <w:style w:type="character" w:styleId="ZnakZnak">
    <w:name w:val=" Znak Znak"/>
    <w:qFormat/>
    <w:rPr>
      <w:rFonts w:ascii="Tahoma" w:hAnsi="Tahoma" w:eastAsia="Times New Roman" w:cs="Tahoma"/>
      <w:sz w:val="16"/>
      <w:szCs w:val="16"/>
    </w:rPr>
  </w:style>
  <w:style w:type="character" w:styleId="Appleconvertedspace">
    <w:name w:val="apple-converted-space"/>
    <w:basedOn w:val="Domylnaczcionkaakapitu1"/>
    <w:qFormat/>
    <w:rPr/>
  </w:style>
  <w:style w:type="character" w:styleId="Mocnowyrniony">
    <w:name w:val="Mocno wyróżniony"/>
    <w:qFormat/>
    <w:rPr>
      <w:b/>
      <w:bCs/>
    </w:rPr>
  </w:style>
  <w:style w:type="character" w:styleId="ZnakZnak4">
    <w:name w:val=" Znak Znak4"/>
    <w:qFormat/>
    <w:rPr>
      <w:rFonts w:ascii="Calibri" w:hAnsi="Calibri" w:eastAsia="Times New Roman" w:cs="Times New Roman"/>
      <w:b/>
      <w:bCs/>
      <w:sz w:val="22"/>
      <w:szCs w:val="22"/>
    </w:rPr>
  </w:style>
  <w:style w:type="character" w:styleId="2Znak">
    <w:name w:val="2 Znak"/>
    <w:qFormat/>
    <w:rPr>
      <w:rFonts w:ascii="Arial" w:hAnsi="Arial" w:cs="Arial"/>
      <w:b/>
      <w:spacing w:val="20"/>
      <w:sz w:val="26"/>
      <w:szCs w:val="26"/>
      <w:lang w:val="pl-PL" w:bidi="ar-SA"/>
    </w:rPr>
  </w:style>
  <w:style w:type="character" w:styleId="3Znak">
    <w:name w:val="3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4Znak">
    <w:name w:val="4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5Znak">
    <w:name w:val="5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I1Znak">
    <w:name w:val="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III1Znak">
    <w:name w:val="II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ZnakZnak6">
    <w:name w:val=" Znak Znak6"/>
    <w:qFormat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BBF1StopieZnak">
    <w:name w:val="BBF-1 Stopień Znak"/>
    <w:qFormat/>
    <w:rPr>
      <w:rFonts w:ascii="Arial" w:hAnsi="Arial" w:eastAsia="Times New Roman" w:cs="Arial"/>
      <w:b/>
      <w:sz w:val="24"/>
      <w:szCs w:val="24"/>
    </w:rPr>
  </w:style>
  <w:style w:type="character" w:styleId="ZnakZnak7">
    <w:name w:val=" Znak Znak7"/>
    <w:qFormat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ekstrdowy">
    <w:name w:val="Tekst źródłowy"/>
    <w:qFormat/>
    <w:rPr>
      <w:rFonts w:ascii="Liberation Mono;Courier New" w:hAnsi="Liberation Mono;Courier New" w:eastAsia="NSimSun" w:cs="Liberation Mono;Courier New"/>
    </w:rPr>
  </w:style>
  <w:style w:type="character" w:styleId="NagwekZnak">
    <w:name w:val="Nagłówek Znak"/>
    <w:qFormat/>
    <w:rPr>
      <w:lang w:eastAsia="zh-CN"/>
    </w:rPr>
  </w:style>
  <w:style w:type="character" w:styleId="Czeinternetowe">
    <w:name w:val="Łącze internetowe"/>
    <w:rPr>
      <w:color w:val="0563C1"/>
      <w:u w:val="single"/>
    </w:rPr>
  </w:style>
  <w:style w:type="character" w:styleId="WWCharLFO31LVL1">
    <w:name w:val="WW_CharLFO31LVL1"/>
    <w:qFormat/>
    <w:rPr>
      <w:rFonts w:ascii="Symbol" w:hAnsi="Symbol" w:cs="Symbol"/>
      <w:b/>
      <w:sz w:val="24"/>
      <w:szCs w:val="24"/>
    </w:rPr>
  </w:style>
  <w:style w:type="character" w:styleId="WWCharLFO31LVL2">
    <w:name w:val="WW_CharLFO31LVL2"/>
    <w:qFormat/>
    <w:rPr>
      <w:rFonts w:ascii="Courier New" w:hAnsi="Courier New" w:cs="Courier New"/>
    </w:rPr>
  </w:style>
  <w:style w:type="character" w:styleId="WWCharLFO31LVL3">
    <w:name w:val="WW_CharLFO31LVL3"/>
    <w:qFormat/>
    <w:rPr>
      <w:rFonts w:ascii="Wingdings" w:hAnsi="Wingdings" w:cs="Wingdings"/>
    </w:rPr>
  </w:style>
  <w:style w:type="character" w:styleId="WWCharLFO31LVL4">
    <w:name w:val="WW_CharLFO31LVL4"/>
    <w:qFormat/>
    <w:rPr>
      <w:rFonts w:ascii="Symbol" w:hAnsi="Symbol" w:cs="Symbol"/>
    </w:rPr>
  </w:style>
  <w:style w:type="character" w:styleId="WWCharLFO31LVL5">
    <w:name w:val="WW_CharLFO31LVL5"/>
    <w:qFormat/>
    <w:rPr>
      <w:rFonts w:ascii="Courier New" w:hAnsi="Courier New" w:cs="Courier New"/>
    </w:rPr>
  </w:style>
  <w:style w:type="character" w:styleId="WWCharLFO31LVL6">
    <w:name w:val="WW_CharLFO31LVL6"/>
    <w:qFormat/>
    <w:rPr>
      <w:rFonts w:ascii="Wingdings" w:hAnsi="Wingdings" w:cs="Wingdings"/>
    </w:rPr>
  </w:style>
  <w:style w:type="character" w:styleId="WWCharLFO31LVL7">
    <w:name w:val="WW_CharLFO31LVL7"/>
    <w:qFormat/>
    <w:rPr>
      <w:rFonts w:ascii="Symbol" w:hAnsi="Symbol" w:cs="Symbol"/>
    </w:rPr>
  </w:style>
  <w:style w:type="character" w:styleId="WWCharLFO31LVL8">
    <w:name w:val="WW_CharLFO31LVL8"/>
    <w:qFormat/>
    <w:rPr>
      <w:rFonts w:ascii="Courier New" w:hAnsi="Courier New" w:cs="Courier New"/>
    </w:rPr>
  </w:style>
  <w:style w:type="character" w:styleId="WWCharLFO31LVL9">
    <w:name w:val="WW_CharLFO31LVL9"/>
    <w:qFormat/>
    <w:rPr>
      <w:rFonts w:ascii="Wingdings" w:hAnsi="Wingdings" w:cs="Wingdings"/>
    </w:rPr>
  </w:style>
  <w:style w:type="character" w:styleId="Czeindeksu">
    <w:name w:val="Łącze indeksu"/>
    <w:qFormat/>
    <w:rPr/>
  </w:style>
  <w:style w:type="character" w:styleId="Znakinumeracji">
    <w:name w:val="Znaki numeracji"/>
    <w:qFormat/>
    <w:rPr/>
  </w:style>
  <w:style w:type="character" w:styleId="WWCharLFO9LVL1">
    <w:name w:val="WW_CharLFO9LVL1"/>
    <w:qFormat/>
    <w:rPr>
      <w:lang w:val="pl-PL"/>
    </w:rPr>
  </w:style>
  <w:style w:type="character" w:styleId="ListLabel1">
    <w:name w:val="ListLabel 1"/>
    <w:qFormat/>
    <w:rPr>
      <w:sz w:val="24"/>
      <w:szCs w:val="24"/>
    </w:rPr>
  </w:style>
  <w:style w:type="character" w:styleId="ListLabel2">
    <w:name w:val="ListLabel 2"/>
    <w:qFormat/>
    <w:rPr>
      <w:rFonts w:cs="Wingdings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Wingdings"/>
    </w:rPr>
  </w:style>
  <w:style w:type="character" w:styleId="ListLabel5">
    <w:name w:val="ListLabel 5"/>
    <w:qFormat/>
    <w:rPr>
      <w:rFonts w:cs="Symbol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Wingdings"/>
    </w:rPr>
  </w:style>
  <w:style w:type="character" w:styleId="ListLabel8">
    <w:name w:val="ListLabel 8"/>
    <w:qFormat/>
    <w:rPr>
      <w:rFonts w:cs="Symbol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Arial"/>
      <w:b/>
      <w:i w:val="false"/>
      <w:sz w:val="24"/>
      <w:u w:val="none"/>
    </w:rPr>
  </w:style>
  <w:style w:type="character" w:styleId="ListLabel12">
    <w:name w:val="ListLabel 12"/>
    <w:qFormat/>
    <w:rPr>
      <w:rFonts w:cs="Symbol"/>
      <w:b/>
      <w:sz w:val="22"/>
      <w:szCs w:val="24"/>
    </w:rPr>
  </w:style>
  <w:style w:type="character" w:styleId="ListLabel13">
    <w:name w:val="ListLabel 13"/>
    <w:qFormat/>
    <w:rPr>
      <w:rFonts w:cs="Symbol"/>
      <w:sz w:val="24"/>
      <w:szCs w:val="24"/>
    </w:rPr>
  </w:style>
  <w:style w:type="character" w:styleId="ListLabel14">
    <w:name w:val="ListLabel 14"/>
    <w:qFormat/>
    <w:rPr>
      <w:rFonts w:cs="Times New Roman"/>
      <w:b/>
      <w:sz w:val="28"/>
      <w:szCs w:val="24"/>
    </w:rPr>
  </w:style>
  <w:style w:type="character" w:styleId="ListLabel15">
    <w:name w:val="ListLabel 15"/>
    <w:qFormat/>
    <w:rPr>
      <w:rFonts w:cs="Times New Roman"/>
      <w:b/>
      <w:bCs w:val="false"/>
      <w:sz w:val="28"/>
      <w:szCs w:val="24"/>
    </w:rPr>
  </w:style>
  <w:style w:type="character" w:styleId="ListLabel16">
    <w:name w:val="ListLabel 16"/>
    <w:qFormat/>
    <w:rPr>
      <w:rFonts w:cs="Symbol"/>
      <w:sz w:val="24"/>
      <w:szCs w:val="24"/>
    </w:rPr>
  </w:style>
  <w:style w:type="character" w:styleId="ListLabel17">
    <w:name w:val="ListLabel 17"/>
    <w:qFormat/>
    <w:rPr>
      <w:rFonts w:cs="Symbol"/>
      <w:sz w:val="24"/>
      <w:szCs w:val="24"/>
    </w:rPr>
  </w:style>
  <w:style w:type="character" w:styleId="ListLabel18">
    <w:name w:val="ListLabel 18"/>
    <w:qFormat/>
    <w:rPr>
      <w:rFonts w:cs="Symbol"/>
      <w:sz w:val="24"/>
      <w:szCs w:val="24"/>
    </w:rPr>
  </w:style>
  <w:style w:type="character" w:styleId="ListLabel19">
    <w:name w:val="ListLabel 19"/>
    <w:qFormat/>
    <w:rPr>
      <w:rFonts w:cs="Symbol"/>
      <w:sz w:val="24"/>
      <w:szCs w:val="24"/>
    </w:rPr>
  </w:style>
  <w:style w:type="character" w:styleId="ListLabel20">
    <w:name w:val="ListLabel 20"/>
    <w:qFormat/>
    <w:rPr>
      <w:lang w:val="pl-PL"/>
    </w:rPr>
  </w:style>
  <w:style w:type="character" w:styleId="ListLabel21">
    <w:name w:val="ListLabel 21"/>
    <w:qFormat/>
    <w:rPr>
      <w:sz w:val="24"/>
      <w:szCs w:val="24"/>
    </w:rPr>
  </w:style>
  <w:style w:type="character" w:styleId="ListLabel22">
    <w:name w:val="ListLabel 22"/>
    <w:qFormat/>
    <w:rPr>
      <w:rFonts w:cs="Symbol"/>
      <w:b/>
      <w:sz w:val="22"/>
      <w:szCs w:val="24"/>
    </w:rPr>
  </w:style>
  <w:style w:type="character" w:styleId="ListLabel23">
    <w:name w:val="ListLabel 23"/>
    <w:qFormat/>
    <w:rPr>
      <w:rFonts w:cs="Symbol"/>
      <w:sz w:val="24"/>
      <w:szCs w:val="24"/>
    </w:rPr>
  </w:style>
  <w:style w:type="character" w:styleId="ListLabel24">
    <w:name w:val="ListLabel 24"/>
    <w:qFormat/>
    <w:rPr>
      <w:rFonts w:cs="Symbol"/>
      <w:sz w:val="24"/>
      <w:szCs w:val="24"/>
    </w:rPr>
  </w:style>
  <w:style w:type="character" w:styleId="ListLabel25">
    <w:name w:val="ListLabel 25"/>
    <w:qFormat/>
    <w:rPr>
      <w:rFonts w:cs="Symbol"/>
      <w:sz w:val="24"/>
      <w:szCs w:val="24"/>
    </w:rPr>
  </w:style>
  <w:style w:type="character" w:styleId="ListLabel26">
    <w:name w:val="ListLabel 26"/>
    <w:qFormat/>
    <w:rPr>
      <w:rFonts w:cs="Symbol"/>
      <w:sz w:val="24"/>
      <w:szCs w:val="24"/>
    </w:rPr>
  </w:style>
  <w:style w:type="character" w:styleId="ListLabel27">
    <w:name w:val="ListLabel 27"/>
    <w:qFormat/>
    <w:rPr>
      <w:rFonts w:cs="Symbol"/>
      <w:sz w:val="24"/>
      <w:szCs w:val="24"/>
    </w:rPr>
  </w:style>
  <w:style w:type="character" w:styleId="ListLabel28">
    <w:name w:val="ListLabel 28"/>
    <w:qFormat/>
    <w:rPr>
      <w:rFonts w:cs="Symbol"/>
      <w:b/>
      <w:sz w:val="22"/>
      <w:szCs w:val="24"/>
    </w:rPr>
  </w:style>
  <w:style w:type="character" w:styleId="ListLabel29">
    <w:name w:val="ListLabel 29"/>
    <w:qFormat/>
    <w:rPr>
      <w:rFonts w:cs="Symbol"/>
      <w:sz w:val="24"/>
      <w:szCs w:val="24"/>
    </w:rPr>
  </w:style>
  <w:style w:type="character" w:styleId="ListLabel30">
    <w:name w:val="ListLabel 30"/>
    <w:qFormat/>
    <w:rPr>
      <w:rFonts w:cs="Symbol"/>
      <w:sz w:val="24"/>
      <w:szCs w:val="24"/>
    </w:rPr>
  </w:style>
  <w:style w:type="character" w:styleId="ListLabel31">
    <w:name w:val="ListLabel 31"/>
    <w:qFormat/>
    <w:rPr>
      <w:rFonts w:cs="Symbol"/>
      <w:sz w:val="24"/>
      <w:szCs w:val="24"/>
    </w:rPr>
  </w:style>
  <w:style w:type="character" w:styleId="ListLabel32">
    <w:name w:val="ListLabel 32"/>
    <w:qFormat/>
    <w:rPr>
      <w:rFonts w:cs="Symbol"/>
      <w:sz w:val="24"/>
      <w:szCs w:val="24"/>
    </w:rPr>
  </w:style>
  <w:style w:type="character" w:styleId="ListLabel33">
    <w:name w:val="ListLabel 33"/>
    <w:qFormat/>
    <w:rPr>
      <w:rFonts w:cs="Symbol"/>
      <w:sz w:val="24"/>
      <w:szCs w:val="24"/>
    </w:rPr>
  </w:style>
  <w:style w:type="character" w:styleId="ListLabel34">
    <w:name w:val="ListLabel 34"/>
    <w:qFormat/>
    <w:rPr>
      <w:rFonts w:cs="Symbol"/>
      <w:b/>
      <w:sz w:val="22"/>
      <w:szCs w:val="24"/>
    </w:rPr>
  </w:style>
  <w:style w:type="character" w:styleId="ListLabel35">
    <w:name w:val="ListLabel 35"/>
    <w:qFormat/>
    <w:rPr>
      <w:rFonts w:cs="Symbol"/>
      <w:sz w:val="24"/>
      <w:szCs w:val="24"/>
    </w:rPr>
  </w:style>
  <w:style w:type="character" w:styleId="ListLabel36">
    <w:name w:val="ListLabel 36"/>
    <w:qFormat/>
    <w:rPr>
      <w:rFonts w:cs="Symbol"/>
      <w:sz w:val="24"/>
      <w:szCs w:val="24"/>
    </w:rPr>
  </w:style>
  <w:style w:type="character" w:styleId="ListLabel37">
    <w:name w:val="ListLabel 37"/>
    <w:qFormat/>
    <w:rPr>
      <w:rFonts w:cs="Symbol"/>
      <w:sz w:val="24"/>
      <w:szCs w:val="24"/>
    </w:rPr>
  </w:style>
  <w:style w:type="character" w:styleId="ListLabel38">
    <w:name w:val="ListLabel 38"/>
    <w:qFormat/>
    <w:rPr>
      <w:rFonts w:cs="Symbol"/>
      <w:sz w:val="24"/>
      <w:szCs w:val="24"/>
    </w:rPr>
  </w:style>
  <w:style w:type="character" w:styleId="ListLabel39">
    <w:name w:val="ListLabel 39"/>
    <w:qFormat/>
    <w:rPr>
      <w:rFonts w:cs="Symbol"/>
      <w:sz w:val="24"/>
      <w:szCs w:val="24"/>
    </w:rPr>
  </w:style>
  <w:style w:type="character" w:styleId="ListLabel40">
    <w:name w:val="ListLabel 40"/>
    <w:qFormat/>
    <w:rPr>
      <w:rFonts w:cs="Symbol"/>
      <w:b/>
      <w:sz w:val="22"/>
      <w:szCs w:val="24"/>
    </w:rPr>
  </w:style>
  <w:style w:type="character" w:styleId="ListLabel41">
    <w:name w:val="ListLabel 41"/>
    <w:qFormat/>
    <w:rPr>
      <w:rFonts w:cs="Symbol"/>
      <w:sz w:val="24"/>
      <w:szCs w:val="24"/>
    </w:rPr>
  </w:style>
  <w:style w:type="character" w:styleId="ListLabel42">
    <w:name w:val="ListLabel 42"/>
    <w:qFormat/>
    <w:rPr>
      <w:rFonts w:cs="Symbol"/>
      <w:sz w:val="24"/>
      <w:szCs w:val="24"/>
    </w:rPr>
  </w:style>
  <w:style w:type="character" w:styleId="ListLabel43">
    <w:name w:val="ListLabel 43"/>
    <w:qFormat/>
    <w:rPr>
      <w:rFonts w:cs="Symbol"/>
      <w:sz w:val="24"/>
      <w:szCs w:val="24"/>
    </w:rPr>
  </w:style>
  <w:style w:type="character" w:styleId="ListLabel44">
    <w:name w:val="ListLabel 44"/>
    <w:qFormat/>
    <w:rPr>
      <w:rFonts w:cs="Symbol"/>
      <w:sz w:val="24"/>
      <w:szCs w:val="24"/>
    </w:rPr>
  </w:style>
  <w:style w:type="character" w:styleId="ListLabel45">
    <w:name w:val="ListLabel 45"/>
    <w:qFormat/>
    <w:rPr>
      <w:rFonts w:cs="Symbol"/>
      <w:sz w:val="24"/>
      <w:szCs w:val="24"/>
    </w:rPr>
  </w:style>
  <w:style w:type="character" w:styleId="ListLabel46">
    <w:name w:val="ListLabel 46"/>
    <w:qFormat/>
    <w:rPr>
      <w:rFonts w:cs="Symbol"/>
      <w:b/>
      <w:sz w:val="22"/>
      <w:szCs w:val="24"/>
    </w:rPr>
  </w:style>
  <w:style w:type="character" w:styleId="ListLabel47">
    <w:name w:val="ListLabel 47"/>
    <w:qFormat/>
    <w:rPr>
      <w:rFonts w:cs="Symbol"/>
      <w:sz w:val="24"/>
      <w:szCs w:val="24"/>
    </w:rPr>
  </w:style>
  <w:style w:type="character" w:styleId="ListLabel48">
    <w:name w:val="ListLabel 48"/>
    <w:qFormat/>
    <w:rPr>
      <w:rFonts w:cs="Symbol"/>
      <w:sz w:val="24"/>
      <w:szCs w:val="24"/>
    </w:rPr>
  </w:style>
  <w:style w:type="character" w:styleId="ListLabel49">
    <w:name w:val="ListLabel 49"/>
    <w:qFormat/>
    <w:rPr>
      <w:rFonts w:cs="Symbol"/>
      <w:sz w:val="24"/>
      <w:szCs w:val="24"/>
    </w:rPr>
  </w:style>
  <w:style w:type="character" w:styleId="ListLabel50">
    <w:name w:val="ListLabel 50"/>
    <w:qFormat/>
    <w:rPr>
      <w:rFonts w:cs="Symbol"/>
      <w:sz w:val="24"/>
      <w:szCs w:val="24"/>
    </w:rPr>
  </w:style>
  <w:style w:type="character" w:styleId="ListLabel51">
    <w:name w:val="ListLabel 51"/>
    <w:qFormat/>
    <w:rPr>
      <w:rFonts w:cs="Symbol"/>
      <w:sz w:val="24"/>
      <w:szCs w:val="24"/>
    </w:rPr>
  </w:style>
  <w:style w:type="character" w:styleId="ListLabel52">
    <w:name w:val="ListLabel 52"/>
    <w:qFormat/>
    <w:rPr>
      <w:rFonts w:cs="Symbol"/>
      <w:b/>
      <w:sz w:val="22"/>
      <w:szCs w:val="24"/>
    </w:rPr>
  </w:style>
  <w:style w:type="character" w:styleId="ListLabel53">
    <w:name w:val="ListLabel 53"/>
    <w:qFormat/>
    <w:rPr>
      <w:rFonts w:cs="Symbol"/>
      <w:sz w:val="24"/>
      <w:szCs w:val="24"/>
    </w:rPr>
  </w:style>
  <w:style w:type="character" w:styleId="ListLabel54">
    <w:name w:val="ListLabel 54"/>
    <w:qFormat/>
    <w:rPr>
      <w:rFonts w:cs="Symbol"/>
      <w:sz w:val="24"/>
      <w:szCs w:val="24"/>
    </w:rPr>
  </w:style>
  <w:style w:type="character" w:styleId="ListLabel55">
    <w:name w:val="ListLabel 55"/>
    <w:qFormat/>
    <w:rPr>
      <w:rFonts w:cs="Symbol"/>
      <w:sz w:val="24"/>
      <w:szCs w:val="24"/>
    </w:rPr>
  </w:style>
  <w:style w:type="character" w:styleId="ListLabel56">
    <w:name w:val="ListLabel 56"/>
    <w:qFormat/>
    <w:rPr>
      <w:rFonts w:cs="Symbol"/>
      <w:sz w:val="24"/>
      <w:szCs w:val="24"/>
    </w:rPr>
  </w:style>
  <w:style w:type="character" w:styleId="ListLabel57">
    <w:name w:val="ListLabel 57"/>
    <w:qFormat/>
    <w:rPr>
      <w:rFonts w:cs="Symbol"/>
      <w:sz w:val="24"/>
      <w:szCs w:val="24"/>
    </w:rPr>
  </w:style>
  <w:style w:type="character" w:styleId="ListLabel58">
    <w:name w:val="ListLabel 58"/>
    <w:qFormat/>
    <w:rPr>
      <w:rFonts w:cs="Symbol"/>
      <w:b/>
      <w:sz w:val="22"/>
      <w:szCs w:val="24"/>
    </w:rPr>
  </w:style>
  <w:style w:type="character" w:styleId="ListLabel59">
    <w:name w:val="ListLabel 59"/>
    <w:qFormat/>
    <w:rPr>
      <w:rFonts w:cs="Symbol"/>
      <w:sz w:val="24"/>
      <w:szCs w:val="24"/>
    </w:rPr>
  </w:style>
  <w:style w:type="character" w:styleId="ListLabel60">
    <w:name w:val="ListLabel 60"/>
    <w:qFormat/>
    <w:rPr>
      <w:rFonts w:cs="Symbol"/>
      <w:sz w:val="24"/>
      <w:szCs w:val="24"/>
    </w:rPr>
  </w:style>
  <w:style w:type="character" w:styleId="ListLabel61">
    <w:name w:val="ListLabel 61"/>
    <w:qFormat/>
    <w:rPr>
      <w:rFonts w:cs="Symbol"/>
      <w:sz w:val="24"/>
      <w:szCs w:val="24"/>
    </w:rPr>
  </w:style>
  <w:style w:type="character" w:styleId="ListLabel62">
    <w:name w:val="ListLabel 62"/>
    <w:qFormat/>
    <w:rPr>
      <w:rFonts w:cs="Symbol"/>
      <w:sz w:val="24"/>
      <w:szCs w:val="24"/>
    </w:rPr>
  </w:style>
  <w:style w:type="character" w:styleId="ListLabel63">
    <w:name w:val="ListLabel 63"/>
    <w:qFormat/>
    <w:rPr>
      <w:rFonts w:cs="Symbol"/>
      <w:sz w:val="24"/>
      <w:szCs w:val="24"/>
    </w:rPr>
  </w:style>
  <w:style w:type="character" w:styleId="ListLabel64">
    <w:name w:val="ListLabel 64"/>
    <w:qFormat/>
    <w:rPr>
      <w:rFonts w:cs="Symbol"/>
      <w:b/>
      <w:sz w:val="22"/>
      <w:szCs w:val="24"/>
    </w:rPr>
  </w:style>
  <w:style w:type="character" w:styleId="ListLabel65">
    <w:name w:val="ListLabel 65"/>
    <w:qFormat/>
    <w:rPr>
      <w:rFonts w:cs="Symbol"/>
      <w:sz w:val="24"/>
      <w:szCs w:val="24"/>
    </w:rPr>
  </w:style>
  <w:style w:type="character" w:styleId="ListLabel66">
    <w:name w:val="ListLabel 66"/>
    <w:qFormat/>
    <w:rPr>
      <w:rFonts w:cs="Symbol"/>
      <w:sz w:val="24"/>
      <w:szCs w:val="24"/>
    </w:rPr>
  </w:style>
  <w:style w:type="character" w:styleId="ListLabel67">
    <w:name w:val="ListLabel 67"/>
    <w:qFormat/>
    <w:rPr>
      <w:rFonts w:cs="Symbol"/>
      <w:sz w:val="24"/>
      <w:szCs w:val="24"/>
    </w:rPr>
  </w:style>
  <w:style w:type="character" w:styleId="ListLabel68">
    <w:name w:val="ListLabel 68"/>
    <w:qFormat/>
    <w:rPr>
      <w:rFonts w:cs="Symbol"/>
      <w:sz w:val="24"/>
      <w:szCs w:val="24"/>
    </w:rPr>
  </w:style>
  <w:style w:type="character" w:styleId="ListLabel69">
    <w:name w:val="ListLabel 69"/>
    <w:qFormat/>
    <w:rPr>
      <w:rFonts w:cs="Symbol"/>
      <w:sz w:val="24"/>
      <w:szCs w:val="24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360"/>
      <w:jc w:val="center"/>
    </w:pPr>
    <w:rPr>
      <w:rFonts w:ascii="Arial" w:hAnsi="Arial" w:cs="Arial"/>
      <w:b/>
      <w:bCs/>
      <w:sz w:val="22"/>
      <w:szCs w:val="22"/>
    </w:rPr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Nagwek31">
    <w:name w:val="Nagłówek3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Nagwek51">
    <w:name w:val="Nagłówek5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">
    <w:name w:val="Legenda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4">
    <w:name w:val="Nagłówek4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4">
    <w:name w:val="Legenda4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Legenda3">
    <w:name w:val="Legenda3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21">
    <w:name w:val="Nagłówek2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2">
    <w:name w:val="Legenda2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11">
    <w:name w:val="Nagłówek1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1">
    <w:name w:val="Legenda1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Gwkaistopka">
    <w:name w:val="Główka i stopka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Gwka">
    <w:name w:val="Header"/>
    <w:basedOn w:val="Normal"/>
    <w:pPr/>
    <w:rPr/>
  </w:style>
  <w:style w:type="paragraph" w:styleId="Stopka">
    <w:name w:val="Footer"/>
    <w:basedOn w:val="Normal"/>
    <w:pPr/>
    <w:rPr/>
  </w:style>
  <w:style w:type="paragraph" w:styleId="Akapitzlist">
    <w:name w:val="Akapit z listą"/>
    <w:basedOn w:val="Normal"/>
    <w:qFormat/>
    <w:pPr>
      <w:ind w:left="720" w:right="0" w:hanging="0"/>
    </w:pPr>
    <w:rPr/>
  </w:style>
  <w:style w:type="paragraph" w:styleId="AB2EC678D6BE4DEEA4B03F6A770A2BBD">
    <w:name w:val="AB2EC678D6BE4DEEA4B03F6A770A2BBD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Times New Roman" w:cs="Calibri"/>
      <w:color w:val="auto"/>
      <w:kern w:val="2"/>
      <w:sz w:val="22"/>
      <w:szCs w:val="22"/>
      <w:lang w:val="en-US" w:eastAsia="zh-CN" w:bidi="ar-SA"/>
    </w:rPr>
  </w:style>
  <w:style w:type="paragraph" w:styleId="Tekstdymka">
    <w:name w:val="Tekst dymka"/>
    <w:basedOn w:val="Normal"/>
    <w:qFormat/>
    <w:pPr/>
    <w:rPr>
      <w:rFonts w:ascii="Tahoma" w:hAnsi="Tahoma" w:cs="Tahoma"/>
      <w:sz w:val="16"/>
      <w:szCs w:val="16"/>
    </w:rPr>
  </w:style>
  <w:style w:type="paragraph" w:styleId="Nagwek2Title2">
    <w:name w:val="Nagłówek 2.Title 2"/>
    <w:basedOn w:val="Normal"/>
    <w:qFormat/>
    <w:pPr>
      <w:tabs>
        <w:tab w:val="clear" w:pos="709"/>
        <w:tab w:val="left" w:pos="567" w:leader="none"/>
      </w:tabs>
      <w:ind w:left="567" w:right="0" w:hanging="567"/>
    </w:pPr>
    <w:rPr/>
  </w:style>
  <w:style w:type="paragraph" w:styleId="2">
    <w:name w:val="2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3">
    <w:name w:val="3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4">
    <w:name w:val="4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5">
    <w:name w:val="5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I1">
    <w:name w:val="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III1">
    <w:name w:val="II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BBF1Stopie">
    <w:name w:val="BBF-1 Stopień"/>
    <w:basedOn w:val="Normal"/>
    <w:next w:val="Normal"/>
    <w:qFormat/>
    <w:pPr>
      <w:spacing w:before="0" w:after="120"/>
      <w:jc w:val="both"/>
    </w:pPr>
    <w:rPr>
      <w:rFonts w:ascii="Arial" w:hAnsi="Arial" w:cs="Arial"/>
      <w:b/>
      <w:sz w:val="24"/>
      <w:szCs w:val="24"/>
    </w:rPr>
  </w:style>
  <w:style w:type="paragraph" w:styleId="Nagwekwykazurde1">
    <w:name w:val="Nagłówek wykazu źródeł1"/>
    <w:basedOn w:val="Nagwek1"/>
    <w:next w:val="Normal"/>
    <w:qFormat/>
    <w:pPr>
      <w:keepLines/>
      <w:numPr>
        <w:ilvl w:val="0"/>
        <w:numId w:val="0"/>
      </w:numPr>
      <w:spacing w:lineRule="auto" w:line="252" w:before="240" w:after="0"/>
      <w:ind w:left="0" w:right="0" w:hanging="0"/>
    </w:pPr>
    <w:rPr>
      <w:b w:val="false"/>
      <w:bCs w:val="false"/>
      <w:color w:val="2F5496"/>
      <w:kern w:val="0"/>
    </w:rPr>
  </w:style>
  <w:style w:type="paragraph" w:styleId="Spistreci2">
    <w:name w:val="TOC 2"/>
    <w:basedOn w:val="Normal"/>
    <w:next w:val="Normal"/>
    <w:pPr>
      <w:spacing w:lineRule="auto" w:line="252" w:before="0" w:after="100"/>
      <w:ind w:left="220" w:right="0" w:hanging="0"/>
    </w:pPr>
    <w:rPr>
      <w:rFonts w:ascii="Calibri" w:hAnsi="Calibri" w:eastAsia="Times New Roman" w:cs="Calibri"/>
      <w:sz w:val="22"/>
      <w:szCs w:val="22"/>
    </w:rPr>
  </w:style>
  <w:style w:type="paragraph" w:styleId="Spistreci1">
    <w:name w:val="TOC 1"/>
    <w:basedOn w:val="Normal"/>
    <w:next w:val="Normal"/>
    <w:pPr>
      <w:spacing w:lineRule="auto" w:line="252" w:before="0" w:after="100"/>
    </w:pPr>
    <w:rPr>
      <w:rFonts w:ascii="Calibri" w:hAnsi="Calibri" w:eastAsia="Times New Roman" w:cs="Calibri"/>
      <w:sz w:val="22"/>
      <w:szCs w:val="22"/>
    </w:rPr>
  </w:style>
  <w:style w:type="paragraph" w:styleId="Spistreci3">
    <w:name w:val="TOC 3"/>
    <w:basedOn w:val="Normal"/>
    <w:next w:val="Normal"/>
    <w:pPr>
      <w:spacing w:lineRule="auto" w:line="252" w:before="0" w:after="100"/>
      <w:ind w:left="440" w:right="0" w:hanging="0"/>
    </w:pPr>
    <w:rPr>
      <w:rFonts w:ascii="Calibri" w:hAnsi="Calibri" w:eastAsia="Times New Roman" w:cs="Calibri"/>
      <w:sz w:val="22"/>
      <w:szCs w:val="22"/>
    </w:rPr>
  </w:style>
  <w:style w:type="paragraph" w:styleId="Zawartoramki">
    <w:name w:val="Zawartość ramki"/>
    <w:basedOn w:val="Normal"/>
    <w:qFormat/>
    <w:pPr/>
    <w:rPr/>
  </w:style>
  <w:style w:type="paragraph" w:styleId="Zawartotabeli">
    <w:name w:val="Zawartość tabeli"/>
    <w:basedOn w:val="Normal"/>
    <w:qFormat/>
    <w:pPr>
      <w:widowControl w:val="false"/>
      <w:suppressLineNumbers/>
      <w:bidi w:val="0"/>
      <w:jc w:val="left"/>
    </w:pPr>
    <w:rPr>
      <w:rFonts w:ascii="Liberation Serif" w:hAnsi="Liberation Serif" w:eastAsia="NSimSun" w:cs="Arial"/>
      <w:color w:val="auto"/>
      <w:kern w:val="0"/>
      <w:sz w:val="24"/>
      <w:szCs w:val="24"/>
      <w:lang w:val="pl-PL" w:eastAsia="zh-CN" w:bidi="hi-IN"/>
    </w:rPr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paragraph" w:styleId="Standard">
    <w:name w:val="Standard"/>
    <w:qFormat/>
    <w:pPr>
      <w:widowControl/>
      <w:suppressAutoHyphens w:val="true"/>
      <w:bidi w:val="0"/>
      <w:spacing w:lineRule="auto" w:line="276" w:before="0" w:after="200"/>
      <w:jc w:val="left"/>
      <w:textAlignment w:val="baseline"/>
    </w:pPr>
    <w:rPr>
      <w:rFonts w:ascii="Calibri" w:hAnsi="Calibri" w:eastAsia="Calibri" w:cs="Calibri"/>
      <w:color w:val="auto"/>
      <w:kern w:val="2"/>
      <w:sz w:val="22"/>
      <w:szCs w:val="22"/>
      <w:lang w:val="pl-PL" w:eastAsia="zh-CN" w:bidi="ar-SA"/>
    </w:rPr>
  </w:style>
  <w:style w:type="paragraph" w:styleId="Textbody">
    <w:name w:val="Text body"/>
    <w:basedOn w:val="Standard"/>
    <w:qFormat/>
    <w:pPr>
      <w:spacing w:before="0" w:after="140"/>
    </w:pPr>
    <w:rPr>
      <w:rFonts w:ascii="Liberation Serif;Times New Roman" w:hAnsi="Liberation Serif;Times New Roman" w:eastAsia="NSimSun" w:cs="Arial"/>
      <w:sz w:val="24"/>
      <w:szCs w:val="24"/>
      <w:lang w:bidi="hi-IN"/>
    </w:rPr>
  </w:style>
  <w:style w:type="paragraph" w:styleId="Nagwekwykazurde2">
    <w:name w:val="Nagłówek wykazu źródeł2"/>
    <w:basedOn w:val="Nagwek1"/>
    <w:next w:val="Normal"/>
    <w:qFormat/>
    <w:pPr>
      <w:keepLines/>
      <w:numPr>
        <w:ilvl w:val="0"/>
        <w:numId w:val="0"/>
      </w:numPr>
      <w:suppressAutoHyphens w:val="false"/>
      <w:spacing w:lineRule="auto" w:line="252" w:before="240" w:after="0"/>
      <w:ind w:left="0" w:right="0" w:hanging="0"/>
    </w:pPr>
    <w:rPr>
      <w:rFonts w:ascii="Calibri Light" w:hAnsi="Calibri Light" w:eastAsia="Times New Roman" w:cs="Times New Roman"/>
      <w:b w:val="false"/>
      <w:bCs w:val="false"/>
      <w:color w:val="2F5496"/>
      <w:kern w:val="0"/>
    </w:rPr>
  </w:style>
  <w:style w:type="paragraph" w:styleId="Tekst">
    <w:name w:val="tekst"/>
    <w:basedOn w:val="Normal"/>
    <w:qFormat/>
    <w:pPr>
      <w:widowControl w:val="false"/>
      <w:suppressAutoHyphens w:val="true"/>
      <w:ind w:left="708" w:right="0" w:hanging="0"/>
      <w:jc w:val="both"/>
    </w:pPr>
    <w:rPr>
      <w:rFonts w:ascii="Arial" w:hAnsi="Arial" w:eastAsia="Arial" w:cs="Arial"/>
      <w:szCs w:val="20"/>
    </w:rPr>
  </w:style>
  <w:style w:type="paragraph" w:styleId="TOAHeading">
    <w:name w:val="TOA Heading"/>
    <w:basedOn w:val="Nagwek"/>
    <w:qFormat/>
    <w:pPr>
      <w:suppressLineNumbers/>
      <w:ind w:left="0" w:hanging="0"/>
    </w:pPr>
    <w:rPr>
      <w:b/>
      <w:bCs/>
      <w:sz w:val="32"/>
      <w:szCs w:val="32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  <w:style w:type="numbering" w:styleId="WW8Num4">
    <w:name w:val="WW8Num4"/>
    <w:qFormat/>
  </w:style>
  <w:style w:type="numbering" w:styleId="WW8Num5">
    <w:name w:val="WW8Num5"/>
    <w:qFormat/>
  </w:style>
  <w:style w:type="numbering" w:styleId="WW8Num6">
    <w:name w:val="WW8Num6"/>
    <w:qFormat/>
  </w:style>
  <w:style w:type="numbering" w:styleId="WW8Num7">
    <w:name w:val="WW8Num7"/>
    <w:qFormat/>
  </w:style>
  <w:style w:type="numbering" w:styleId="WW8Num8">
    <w:name w:val="WW8Num8"/>
    <w:qFormat/>
  </w:style>
  <w:style w:type="numbering" w:styleId="WW8Num9">
    <w:name w:val="WW8Num9"/>
    <w:qFormat/>
  </w:style>
  <w:style w:type="numbering" w:styleId="WW8Num10">
    <w:name w:val="WW8Num10"/>
    <w:qFormat/>
  </w:style>
  <w:style w:type="numbering" w:styleId="WW8Num11">
    <w:name w:val="WW8Num11"/>
    <w:qFormat/>
  </w:style>
  <w:style w:type="numbering" w:styleId="WW8Num12">
    <w:name w:val="WW8Num12"/>
    <w:qFormat/>
  </w:style>
  <w:style w:type="numbering" w:styleId="WW8Num13">
    <w:name w:val="WW8Num13"/>
    <w:qFormat/>
  </w:style>
  <w:style w:type="numbering" w:styleId="WW8Num14">
    <w:name w:val="WW8Num14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0000_</Template>
  <TotalTime>853</TotalTime>
  <Application>LibreOffice/6.1.2.1$Windows_X86_64 LibreOffice_project/65905a128db06ba48db947242809d14d3f9a93fe</Application>
  <Pages>18</Pages>
  <Words>2108</Words>
  <Characters>15277</Characters>
  <CharactersWithSpaces>17271</CharactersWithSpaces>
  <Paragraphs>177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2021-06-29T12:44:00Z</dcterms:created>
  <dc:creator>S.Kobylarz</dc:creator>
  <dc:description/>
  <dc:language>pl-PL</dc:language>
  <cp:lastModifiedBy/>
  <cp:lastPrinted>2023-01-25T05:50:00Z</cp:lastPrinted>
  <dcterms:modified xsi:type="dcterms:W3CDTF">2023-05-04T08:56:53Z</dcterms:modified>
  <cp:revision>187</cp:revision>
  <dc:subject/>
  <dc:title>Projekt Budowlany</dc:title>
</cp:coreProperties>
</file>