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footer1.xml" ContentType="application/vnd.openxmlformats-officedocument.wordprocessingml.footer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media/image3.png" ContentType="image/png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spacing w:lineRule="auto" w:line="360"/>
        <w:ind w:left="708" w:right="0" w:hanging="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  <w:t>OŚWIADCZENIE</w:t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spacing w:lineRule="auto" w:line="360"/>
        <w:ind w:left="0" w:right="0" w:firstLine="708"/>
        <w:jc w:val="both"/>
        <w:rPr/>
      </w:pPr>
      <w:r>
        <w:rPr>
          <w:i/>
          <w:sz w:val="22"/>
          <w:szCs w:val="22"/>
        </w:rPr>
        <w:t xml:space="preserve">Na podstawie art. 34 </w:t>
      </w:r>
      <w:r>
        <w:rPr>
          <w:i/>
          <w:iCs/>
          <w:sz w:val="22"/>
          <w:szCs w:val="22"/>
        </w:rPr>
        <w:t>Ustawy z dnia 7 lipca 1994 r. Prawo budowlane</w:t>
      </w:r>
      <w:r>
        <w:rPr>
          <w:i/>
          <w:sz w:val="22"/>
          <w:szCs w:val="22"/>
        </w:rPr>
        <w:t xml:space="preserve"> z późniejszymi zmianami</w:t>
      </w:r>
      <w:r>
        <w:rPr>
          <w:i/>
          <w:lang w:val="pl-PL" w:eastAsia="pl-PL"/>
        </w:rPr>
        <w:t xml:space="preserve"> </w:t>
      </w:r>
      <w:r>
        <w:rPr>
          <w:i/>
          <w:sz w:val="22"/>
          <w:szCs w:val="22"/>
        </w:rPr>
        <w:t>oświadczam, iż niniejsza dokumentacja projektowa została sporządzona zgodnie z obowiązującymi przepisami oraz zasadami wiedzy technicznej, jest w swoim zakresie kompletna oraz spełnia wymagania dla celu, któremu ma służyć.</w:t>
      </w:r>
    </w:p>
    <w:p>
      <w:pPr>
        <w:pStyle w:val="Normal"/>
        <w:spacing w:lineRule="auto" w:line="360"/>
        <w:ind w:left="0" w:right="0" w:firstLine="708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0" w:right="0" w:firstLine="708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0" w:right="0" w:firstLine="708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/>
      </w:pPr>
      <w:r>
        <w:rPr>
          <w:rFonts w:eastAsia="Times New Roman" w:cs="Times New Roman"/>
          <w:i/>
          <w:color w:val="auto"/>
          <w:kern w:val="2"/>
          <w:sz w:val="22"/>
          <w:szCs w:val="22"/>
          <w:lang w:val="pl-PL" w:eastAsia="zh-CN" w:bidi="ar-SA"/>
        </w:rPr>
        <w:t>Kwiecień</w:t>
      </w:r>
      <w:r>
        <w:rPr>
          <w:i/>
          <w:sz w:val="22"/>
          <w:szCs w:val="22"/>
        </w:rPr>
        <w:t>, 202</w:t>
      </w:r>
      <w:r>
        <w:rPr>
          <w:rFonts w:eastAsia="Times New Roman" w:cs="Times New Roman"/>
          <w:i/>
          <w:color w:val="auto"/>
          <w:kern w:val="2"/>
          <w:sz w:val="22"/>
          <w:szCs w:val="22"/>
          <w:lang w:val="pl-PL" w:eastAsia="zh-CN" w:bidi="ar-SA"/>
        </w:rPr>
        <w:t>3</w:t>
      </w:r>
      <w:r>
        <w:rPr>
          <w:i/>
          <w:sz w:val="22"/>
          <w:szCs w:val="22"/>
        </w:rPr>
        <w:t xml:space="preserve"> r.</w:t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TOAHeading"/>
        <w:jc w:val="center"/>
        <w:rPr/>
      </w:pPr>
      <w:r>
        <w:rPr>
          <w:sz w:val="24"/>
          <w:szCs w:val="24"/>
        </w:rPr>
        <w:t>Spis treści</w:t>
      </w:r>
    </w:p>
    <w:p>
      <w:pPr>
        <w:pStyle w:val="Spistreci1"/>
        <w:tabs>
          <w:tab w:val="clear" w:pos="709"/>
          <w:tab w:val="right" w:pos="9483" w:leader="dot"/>
        </w:tabs>
        <w:rPr/>
      </w:pPr>
      <w:r>
        <w:fldChar w:fldCharType="begin"/>
      </w:r>
      <w:r>
        <w:rPr>
          <w:rStyle w:val="Czeindeksu"/>
        </w:rPr>
        <w:instrText> TOC \f \o "1-9" \h</w:instrText>
      </w:r>
      <w:r>
        <w:rPr>
          <w:rStyle w:val="Czeindeksu"/>
        </w:rPr>
        <w:fldChar w:fldCharType="separate"/>
      </w:r>
      <w:hyperlink w:anchor="__RefHeading___Toc413_2367410010">
        <w:r>
          <w:rPr>
            <w:rStyle w:val="Czeindeksu"/>
          </w:rPr>
          <w:t>PROJEKT ZAGOSPODAROWANIA TERENU</w:t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08">
        <w:r>
          <w:rPr>
            <w:rStyle w:val="Czeindeksu"/>
          </w:rPr>
          <w:t xml:space="preserve">1. </w:t>
        </w:r>
        <w:r>
          <w:rPr>
            <w:rStyle w:val="Czeindeksu"/>
            <w:i w:val="false"/>
            <w:iCs w:val="false"/>
          </w:rPr>
          <w:t>PRZEDMIOT INWESTYCJI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09">
        <w:r>
          <w:rPr>
            <w:rStyle w:val="Czeindeksu"/>
          </w:rPr>
          <w:t xml:space="preserve">2. </w:t>
        </w:r>
        <w:r>
          <w:rPr>
            <w:rStyle w:val="Czeindeksu"/>
            <w:i w:val="false"/>
            <w:iCs w:val="false"/>
          </w:rPr>
          <w:t>INWESTOR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0">
        <w:r>
          <w:rPr>
            <w:rStyle w:val="Czeindeksu"/>
          </w:rPr>
          <w:t xml:space="preserve">3. </w:t>
        </w:r>
        <w:r>
          <w:rPr>
            <w:rStyle w:val="Czeindeksu"/>
            <w:i w:val="false"/>
            <w:iCs w:val="false"/>
          </w:rPr>
          <w:t>PODSTAWA OPRACOWANIA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1">
        <w:r>
          <w:rPr>
            <w:rStyle w:val="Czeindeksu"/>
          </w:rPr>
          <w:t xml:space="preserve">4. </w:t>
        </w:r>
        <w:r>
          <w:rPr>
            <w:rStyle w:val="Czeindeksu"/>
            <w:i w:val="false"/>
            <w:iCs w:val="false"/>
          </w:rPr>
          <w:t>ISTNIEJĄCY STAN ZAGOSPODAROWANIA DZIAŁKI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2">
        <w:r>
          <w:rPr>
            <w:rStyle w:val="Czeindeksu"/>
          </w:rPr>
          <w:t xml:space="preserve">5. </w:t>
        </w:r>
        <w:r>
          <w:rPr>
            <w:rStyle w:val="Czeindeksu"/>
            <w:i w:val="false"/>
            <w:iCs w:val="false"/>
          </w:rPr>
          <w:t>PROJEKTOWANE ZAGOSPODAROWANIE DZIAŁKI</w:t>
        </w:r>
        <w:r>
          <w:rPr>
            <w:rStyle w:val="Czeindeksu"/>
          </w:rPr>
          <w:tab/>
          <w:t>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3">
        <w:r>
          <w:rPr>
            <w:rStyle w:val="Czeindeksu"/>
          </w:rPr>
          <w:t xml:space="preserve">6. </w:t>
        </w:r>
        <w:r>
          <w:rPr>
            <w:rStyle w:val="Czeindeksu"/>
            <w:i w:val="false"/>
            <w:iCs w:val="false"/>
          </w:rPr>
          <w:t>DANE INFORMUJĄCE O WPISIE TERENU DO REJESTRU ZABYTKÓW</w:t>
        </w:r>
        <w:r>
          <w:rPr>
            <w:rStyle w:val="Czeindeksu"/>
          </w:rPr>
          <w:tab/>
          <w:t>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4">
        <w:r>
          <w:rPr>
            <w:rStyle w:val="Czeindeksu"/>
          </w:rPr>
          <w:t xml:space="preserve">7. </w:t>
        </w:r>
        <w:r>
          <w:rPr>
            <w:rStyle w:val="Czeindeksu"/>
            <w:i w:val="false"/>
            <w:iCs w:val="false"/>
          </w:rPr>
          <w:t>DANE OKREŚLAJĄCE WPŁYW EKSPLOATACJI GÓRNICZEJ NA TEREN OBJĘTY INWESTYCJĄ</w:t>
        </w:r>
        <w:r>
          <w:rPr>
            <w:rStyle w:val="Czeindeksu"/>
          </w:rPr>
          <w:tab/>
          <w:t>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5">
        <w:r>
          <w:rPr>
            <w:rStyle w:val="Czeindeksu"/>
          </w:rPr>
          <w:t xml:space="preserve">8. </w:t>
        </w:r>
        <w:r>
          <w:rPr>
            <w:rStyle w:val="Czeindeksu"/>
            <w:i w:val="false"/>
            <w:iCs w:val="false"/>
          </w:rPr>
          <w:t>INFORMACJA O CHARAKTERZE I CECHACH ISTNIEJĄCYCH I PRZEWIDYWANYCH ZAGROŻEŃ DLA ŚRODOWISKA ORAZ HIGIENY I ZDROWIA UŻYTKOWNIKÓW</w:t>
        </w:r>
        <w:r>
          <w:rPr>
            <w:rStyle w:val="Czeindeksu"/>
          </w:rPr>
          <w:tab/>
          <w:t>9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6">
        <w:r>
          <w:rPr>
            <w:rStyle w:val="Czeindeksu"/>
          </w:rPr>
          <w:t xml:space="preserve">9. </w:t>
        </w:r>
        <w:r>
          <w:rPr>
            <w:rStyle w:val="Czeindeksu"/>
            <w:i w:val="false"/>
            <w:iCs w:val="false"/>
          </w:rPr>
          <w:t>UWAGI KOŃCOWE</w:t>
        </w:r>
        <w:r>
          <w:rPr>
            <w:rStyle w:val="Czeindeksu"/>
          </w:rPr>
          <w:tab/>
          <w:t>9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75861317">
        <w:r>
          <w:rPr>
            <w:rStyle w:val="Czeindeksu"/>
          </w:rPr>
          <w:t xml:space="preserve"> </w:t>
        </w:r>
        <w:r>
          <w:rPr>
            <w:rStyle w:val="Czeindeksu"/>
          </w:rPr>
          <w:t>ZAGOSPODAROWANIA TERENU</w:t>
          <w:tab/>
          <w:t>10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75861318">
        <w:r>
          <w:rPr>
            <w:rStyle w:val="Czeindeksu"/>
          </w:rPr>
          <w:t>CZĘŚĆ RYSUNKOWA</w:t>
          <w:tab/>
          <w:t>10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3220_1339427135">
        <w:r>
          <w:rPr>
            <w:rStyle w:val="Czeindeksu"/>
          </w:rPr>
          <w:t xml:space="preserve">1. </w:t>
        </w:r>
        <w:r>
          <w:rPr>
            <w:rStyle w:val="Czeindeksu"/>
            <w:i w:val="false"/>
            <w:iCs w:val="false"/>
          </w:rPr>
          <w:t>Plan orientacyjny (rys. nr 1).</w:t>
        </w:r>
        <w:r>
          <w:rPr>
            <w:rStyle w:val="Czeindeksu"/>
          </w:rPr>
          <w:tab/>
          <w:t>10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3222_1339427135">
        <w:r>
          <w:rPr>
            <w:rStyle w:val="Czeindeksu"/>
          </w:rPr>
          <w:t xml:space="preserve">2. </w:t>
        </w:r>
        <w:r>
          <w:rPr>
            <w:rStyle w:val="Czeindeksu"/>
            <w:i w:val="false"/>
            <w:iCs w:val="false"/>
          </w:rPr>
          <w:t>Plan sytuacyjny (rys. nr 2.a – 2.c).</w:t>
        </w:r>
        <w:r>
          <w:rPr>
            <w:rStyle w:val="Czeindeksu"/>
          </w:rPr>
          <w:tab/>
          <w:t>10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415_2367410010">
        <w:r>
          <w:rPr>
            <w:rStyle w:val="Czeindeksu"/>
          </w:rPr>
          <w:t>INFORMACJA DOTYCZĄCA PLANU BEZPIECZEŃSTWA I OCHRONY ZDROWIA</w:t>
          <w:tab/>
          <w:t>13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417_2367410010">
        <w:r>
          <w:rPr>
            <w:rStyle w:val="Czeindeksu"/>
          </w:rPr>
          <w:t>PROJEKT ARCHITEKTONICZNO-BUDOWLANY</w:t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419_2367410010">
        <w:r>
          <w:rPr>
            <w:rStyle w:val="Czeindeksu"/>
          </w:rPr>
          <w:t xml:space="preserve">1. </w:t>
        </w:r>
        <w:r>
          <w:rPr>
            <w:rStyle w:val="Czeindeksu"/>
            <w:i w:val="false"/>
            <w:iCs w:val="false"/>
          </w:rPr>
          <w:t xml:space="preserve"> PRZEZNACZENIE I PROGRAM UŻYTKOWY OBIEKTU</w:t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2">
        <w:r>
          <w:rPr>
            <w:rStyle w:val="Czeindeksu"/>
          </w:rPr>
          <w:t xml:space="preserve">2. </w:t>
        </w:r>
        <w:r>
          <w:rPr>
            <w:rStyle w:val="Czeindeksu"/>
            <w:i w:val="false"/>
            <w:iCs w:val="false"/>
          </w:rPr>
          <w:t xml:space="preserve"> FORMA ARCHITEKTONICZNA I FUNKCJA OBIEKTU</w:t>
        </w:r>
        <w:r>
          <w:rPr>
            <w:rStyle w:val="Czeindeksu"/>
          </w:rPr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1786_1339427135">
        <w:r>
          <w:rPr>
            <w:rStyle w:val="Czeindeksu"/>
          </w:rPr>
          <w:t xml:space="preserve">3. </w:t>
        </w:r>
        <w:r>
          <w:rPr>
            <w:rStyle w:val="Czeindeksu"/>
            <w:i w:val="false"/>
            <w:iCs w:val="false"/>
          </w:rPr>
          <w:t xml:space="preserve"> UKŁAD KONSTRUKCYJNY PRZEBUDOWYWANYCH OBIEKTÓW</w:t>
        </w:r>
        <w:r>
          <w:rPr>
            <w:rStyle w:val="Czeindeksu"/>
          </w:rPr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4">
        <w:r>
          <w:rPr>
            <w:rStyle w:val="Czeindeksu"/>
            <w:i w:val="false"/>
            <w:iCs w:val="false"/>
          </w:rPr>
          <w:t>ROZWIĄZANIA BUDOWLANE I TECHNICZNO-INSTALACYJNE ORAZ ROZWIĄZANIA TECHNICZNO-BUDOWLANE W MIEJSCACH CHARAKTERYSTYCZNYCH.</w:t>
        </w:r>
        <w:r>
          <w:rPr>
            <w:rStyle w:val="Czeindeksu"/>
          </w:rPr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5">
        <w:r>
          <w:rPr>
            <w:rStyle w:val="Czeindeksu"/>
          </w:rPr>
          <w:t xml:space="preserve">4. </w:t>
        </w:r>
        <w:r>
          <w:rPr>
            <w:rStyle w:val="Czeindeksu"/>
            <w:i w:val="false"/>
            <w:iCs w:val="false"/>
          </w:rPr>
          <w:t xml:space="preserve"> ROZWIĄZANIA ZASADNICZYCH ELEMENTÓW WYPOSAŻENIA BUDOWLANO-INSTALACYJNEGO.</w:t>
        </w:r>
        <w:r>
          <w:rPr>
            <w:rStyle w:val="Czeindeksu"/>
          </w:rPr>
          <w:tab/>
          <w:t>16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6">
        <w:r>
          <w:rPr>
            <w:rStyle w:val="Czeindeksu"/>
          </w:rPr>
          <w:t xml:space="preserve">5. </w:t>
        </w:r>
        <w:r>
          <w:rPr>
            <w:rStyle w:val="Czeindeksu"/>
            <w:i w:val="false"/>
            <w:iCs w:val="false"/>
          </w:rPr>
          <w:t xml:space="preserve"> ROZWIĄZANIA I SPOSÓB FUNKCJONOWANIA ZASADNICZYCH URZĄDZEŃ INSTALACJI TECHNICZNYCH.</w:t>
        </w:r>
        <w:r>
          <w:rPr>
            <w:rStyle w:val="Czeindeksu"/>
          </w:rPr>
          <w:tab/>
          <w:t>16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7">
        <w:r>
          <w:rPr>
            <w:rStyle w:val="Czeindeksu"/>
          </w:rPr>
          <w:t xml:space="preserve">6. </w:t>
        </w:r>
        <w:r>
          <w:rPr>
            <w:rStyle w:val="Czeindeksu"/>
            <w:i w:val="false"/>
            <w:iCs w:val="false"/>
          </w:rPr>
          <w:t xml:space="preserve"> DANE TECHNICZNE OBIEKTU CHARAKTERYZUJĄCE JEGO WPŁYW NA ŚRODOWISKO, ZDROWIE LUDZI I OBIEKTY SĄSIEDNIE.</w:t>
        </w:r>
        <w:r>
          <w:rPr>
            <w:rStyle w:val="Czeindeksu"/>
          </w:rPr>
          <w:tab/>
          <w:t>16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8">
        <w:r>
          <w:rPr>
            <w:rStyle w:val="Czeindeksu"/>
          </w:rPr>
          <w:t xml:space="preserve">7. </w:t>
        </w:r>
        <w:r>
          <w:rPr>
            <w:rStyle w:val="Czeindeksu"/>
            <w:i w:val="false"/>
            <w:iCs w:val="false"/>
          </w:rPr>
          <w:t xml:space="preserve"> WARUNKI OCHRONY PRZECIWPOŻAROWEJ.</w:t>
        </w:r>
        <w:r>
          <w:rPr>
            <w:rStyle w:val="Czeindeksu"/>
          </w:rPr>
          <w:tab/>
          <w:t>17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421_2367410010">
        <w:r>
          <w:rPr>
            <w:rStyle w:val="Czeindeksu"/>
          </w:rPr>
          <w:t xml:space="preserve">8. </w:t>
        </w:r>
        <w:r>
          <w:rPr>
            <w:rStyle w:val="Czeindeksu"/>
            <w:i w:val="false"/>
            <w:iCs w:val="false"/>
          </w:rPr>
          <w:t xml:space="preserve"> UWAGI OGÓLNE.</w:t>
        </w:r>
        <w:r>
          <w:rPr>
            <w:rStyle w:val="Czeindeksu"/>
          </w:rPr>
          <w:tab/>
          <w:t>17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75861330">
        <w:r>
          <w:rPr>
            <w:rStyle w:val="Czeindeksu"/>
          </w:rPr>
          <w:t>CZĘŚĆ RYSUNKOWA</w:t>
          <w:tab/>
          <w:t>18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3224_1339427135">
        <w:r>
          <w:rPr>
            <w:rStyle w:val="Czeindeksu"/>
          </w:rPr>
          <w:t xml:space="preserve">3. </w:t>
        </w:r>
        <w:r>
          <w:rPr>
            <w:rStyle w:val="Czeindeksu"/>
            <w:i w:val="false"/>
            <w:iCs w:val="false"/>
          </w:rPr>
          <w:t>Szczegóły konstrukcyjne (rys. nr 3).</w:t>
        </w:r>
        <w:r>
          <w:rPr>
            <w:rStyle w:val="Czeindeksu"/>
          </w:rPr>
          <w:tab/>
          <w:t>18</w:t>
        </w:r>
      </w:hyperlink>
      <w:r>
        <w:rPr>
          <w:rStyle w:val="Czeindeksu"/>
        </w:rPr>
        <w:fldChar w:fldCharType="end"/>
      </w:r>
    </w:p>
    <w:p>
      <w:pPr>
        <w:pStyle w:val="Normal"/>
        <w:rPr/>
      </w:pPr>
      <w:r>
        <w:rPr/>
      </w:r>
    </w:p>
    <w:p>
      <w:pPr>
        <w:pStyle w:val="Normal"/>
        <w:jc w:val="center"/>
        <w:rPr/>
      </w:pPr>
      <w:r>
        <w:rPr/>
        <w:drawing>
          <wp:inline distT="0" distB="0" distL="0" distR="0">
            <wp:extent cx="6065520" cy="7248525"/>
            <wp:effectExtent l="0" t="0" r="0" b="0"/>
            <wp:docPr id="1" name="Obraz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3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-304" t="-208" r="-304" b="80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5520" cy="724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>
          <w:sz w:val="28"/>
          <w:szCs w:val="28"/>
        </w:rPr>
      </w:pPr>
      <w:r>
        <w:rPr/>
        <w:drawing>
          <wp:inline distT="0" distB="0" distL="0" distR="0">
            <wp:extent cx="6065520" cy="8539480"/>
            <wp:effectExtent l="0" t="0" r="0" b="0"/>
            <wp:docPr id="2" name="Obraz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4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-304" t="-215" r="-304" b="-2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5520" cy="853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>
          <w:b/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151765</wp:posOffset>
            </wp:positionH>
            <wp:positionV relativeFrom="paragraph">
              <wp:posOffset>196215</wp:posOffset>
            </wp:positionV>
            <wp:extent cx="5791835" cy="8454390"/>
            <wp:effectExtent l="0" t="0" r="0" b="0"/>
            <wp:wrapSquare wrapText="largest"/>
            <wp:docPr id="3" name="Obraz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1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835" cy="8454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rPr/>
      </w:pPr>
      <w:bookmarkStart w:id="0" w:name="__RefHeading___Toc413_2367410010"/>
      <w:bookmarkEnd w:id="0"/>
      <w:r>
        <w:rPr>
          <w:rStyle w:val="Mocnowyrniony"/>
          <w:rFonts w:cs="Times New Roman" w:ascii="Times New Roman" w:hAnsi="Times New Roman"/>
          <w:sz w:val="24"/>
          <w:szCs w:val="24"/>
        </w:rPr>
        <w:t>PROJEKT ZAGOSPODAROWANIA TERENU</w:t>
      </w:r>
    </w:p>
    <w:p>
      <w:pPr>
        <w:pStyle w:val="Normal"/>
        <w:rPr/>
      </w:pPr>
      <w:r>
        <w:rPr/>
      </w:r>
    </w:p>
    <w:p>
      <w:pPr>
        <w:pStyle w:val="Normal"/>
        <w:spacing w:lineRule="exact" w:line="280"/>
        <w:jc w:val="center"/>
        <w:rPr/>
      </w:pPr>
      <w:r>
        <w:rPr>
          <w:b/>
          <w:bCs/>
          <w:sz w:val="28"/>
          <w:szCs w:val="28"/>
        </w:rPr>
        <w:t xml:space="preserve"> </w:t>
      </w:r>
      <w:r>
        <w:rPr>
          <w:b/>
          <w:bCs/>
          <w:sz w:val="24"/>
          <w:szCs w:val="24"/>
        </w:rPr>
        <w:t>CZĘŚĆ OPISOWA</w:t>
      </w:r>
    </w:p>
    <w:p>
      <w:pPr>
        <w:pStyle w:val="Normal"/>
        <w:spacing w:lineRule="exact" w:line="280"/>
        <w:jc w:val="center"/>
        <w:rPr/>
      </w:pPr>
      <w:r>
        <w:rPr/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1" w:name="__RefHeading___Toc75861308"/>
      <w:bookmarkEnd w:id="1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PRZEDMIOT INWESTYCJI</w:t>
      </w:r>
    </w:p>
    <w:p>
      <w:pPr>
        <w:pStyle w:val="Akapitzlist"/>
        <w:spacing w:lineRule="exact" w:line="280"/>
        <w:ind w:left="0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Normal"/>
        <w:suppressAutoHyphens w:val="false"/>
        <w:jc w:val="both"/>
        <w:rPr/>
      </w:pPr>
      <w:r>
        <w:rPr>
          <w:kern w:val="0"/>
          <w:sz w:val="24"/>
          <w:szCs w:val="24"/>
          <w:lang w:eastAsia="pl-PL"/>
        </w:rPr>
        <w:t xml:space="preserve">Przedmiotem opracowania jest uproszczona dokumentacja budowlano-wykonawcza na potrzeby inwestycji pn. </w:t>
      </w:r>
      <w:r>
        <w:rPr>
          <w:rStyle w:val="Domylnaczcionkaakapitu"/>
          <w:rFonts w:eastAsia="Calibri" w:cs="Arial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,</w:t>
      </w:r>
      <w:r>
        <w:rPr>
          <w:rStyle w:val="Domylnaczcionkaakapitu"/>
          <w:rFonts w:eastAsia="Calibri" w:cs="Arial"/>
          <w:b w:val="false"/>
          <w:bCs w:val="false"/>
          <w:i/>
          <w:iCs/>
          <w:color w:val="000000"/>
          <w:kern w:val="0"/>
          <w:sz w:val="24"/>
          <w:szCs w:val="24"/>
          <w:lang w:val="pl-PL" w:eastAsia="pl-PL" w:bidi="ar-SA"/>
        </w:rPr>
        <w:t>,Opracowanie dokumentacji projektowych zwiększających dostępność osobom ze szczególnymi potrzebami w pasach drogowych ulic, których zarządcą jest Gmina Ostrowiec Świętokrzyski’’</w:t>
      </w:r>
      <w:r>
        <w:rPr>
          <w:rStyle w:val="Domylnaczcionkaakapitu"/>
          <w:rFonts w:eastAsia="Calibri" w:cs="Arial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 xml:space="preserve">  - </w:t>
      </w:r>
      <w:r>
        <w:rPr>
          <w:rStyle w:val="Domylnaczcionkaakapitu"/>
          <w:rFonts w:eastAsia="Calibri" w:cs="Times New Roman"/>
          <w:b/>
          <w:bCs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ulica K. Szymanowskiego – budowa 2 stanowisk postojowych (zatoka postojowa w ciągu drogi gminnej).</w:t>
      </w:r>
    </w:p>
    <w:p>
      <w:pPr>
        <w:pStyle w:val="Normal"/>
        <w:suppressAutoHyphens w:val="false"/>
        <w:jc w:val="both"/>
        <w:rPr/>
      </w:pPr>
      <w:r>
        <w:rPr/>
      </w:r>
    </w:p>
    <w:p>
      <w:pPr>
        <w:pStyle w:val="Normal"/>
        <w:suppressAutoHyphens w:val="false"/>
        <w:jc w:val="both"/>
        <w:rPr/>
      </w:pPr>
      <w:r>
        <w:rPr>
          <w:kern w:val="0"/>
          <w:sz w:val="24"/>
          <w:szCs w:val="24"/>
          <w:lang w:eastAsia="pl-PL"/>
        </w:rPr>
        <w:t>Zakres w/w inwestycji ogranicza się do wykonania przebudowy istniejącej drogi polegającej na zlokalizowaniu nowej zatoki postojowej wraz ze zmianą lokalizacji przejścia dla pieszych.</w:t>
      </w:r>
    </w:p>
    <w:p>
      <w:pPr>
        <w:pStyle w:val="Normal"/>
        <w:suppressAutoHyphens w:val="false"/>
        <w:jc w:val="both"/>
        <w:rPr/>
      </w:pPr>
      <w:r>
        <w:rPr/>
      </w:r>
    </w:p>
    <w:p>
      <w:pPr>
        <w:pStyle w:val="Normal"/>
        <w:suppressAutoHyphens w:val="false"/>
        <w:jc w:val="both"/>
        <w:rPr/>
      </w:pPr>
      <w:r>
        <w:rPr/>
      </w:r>
    </w:p>
    <w:p>
      <w:pPr>
        <w:pStyle w:val="Akapitzlist"/>
        <w:spacing w:lineRule="exact" w:line="280"/>
        <w:ind w:left="0" w:right="0" w:hanging="0"/>
        <w:jc w:val="both"/>
        <w:rPr>
          <w:sz w:val="24"/>
          <w:szCs w:val="24"/>
        </w:rPr>
      </w:pPr>
      <w:r>
        <w:rPr>
          <w:sz w:val="24"/>
          <w:szCs w:val="24"/>
        </w:rPr>
        <w:t>Lokalizacja inwestycji:</w:t>
      </w:r>
    </w:p>
    <w:p>
      <w:pPr>
        <w:pStyle w:val="Standard"/>
        <w:tabs>
          <w:tab w:val="clear" w:pos="709"/>
          <w:tab w:val="left" w:pos="426" w:leader="none"/>
        </w:tabs>
        <w:bidi w:val="0"/>
        <w:spacing w:lineRule="auto" w:line="240" w:before="0" w:after="0"/>
        <w:ind w:left="0" w:right="210" w:hanging="0"/>
        <w:jc w:val="left"/>
        <w:rPr/>
      </w:pPr>
      <w:r>
        <w:rPr>
          <w:rFonts w:eastAsia="Times New Roman" w:cs="Times New Roman" w:ascii="Times New Roman" w:hAnsi="Times New Roman"/>
          <w:sz w:val="24"/>
          <w:szCs w:val="24"/>
        </w:rPr>
        <w:t xml:space="preserve">Pas drogowy – działka nr ew. </w:t>
      </w:r>
      <w:r>
        <w:rPr>
          <w:rStyle w:val="Domylnaczcionkaakapitu5"/>
          <w:rFonts w:eastAsia="Times New Roman" w:cs="Times New Roman" w:ascii="Times New Roman" w:hAnsi="Times New Roman"/>
          <w:color w:val="auto"/>
          <w:kern w:val="2"/>
          <w:sz w:val="24"/>
          <w:szCs w:val="24"/>
          <w:lang w:val="pl-PL" w:eastAsia="zh-CN" w:bidi="ar-SA"/>
        </w:rPr>
        <w:t>10.5-1/3</w:t>
      </w:r>
      <w:r>
        <w:rPr>
          <w:rFonts w:eastAsia="Times New Roman" w:cs="Times New Roman" w:ascii="Times New Roman" w:hAnsi="Times New Roman"/>
          <w:sz w:val="24"/>
          <w:szCs w:val="24"/>
        </w:rPr>
        <w:t xml:space="preserve">,  woj. świętokrzyskie, powiat ostrowiecki, </w:t>
        <w:br/>
        <w:t>gmina Ostrowiec Świętokrzyski.</w:t>
      </w:r>
    </w:p>
    <w:p>
      <w:pPr>
        <w:pStyle w:val="Standard"/>
        <w:tabs>
          <w:tab w:val="clear" w:pos="709"/>
          <w:tab w:val="left" w:pos="426" w:leader="none"/>
        </w:tabs>
        <w:bidi w:val="0"/>
        <w:spacing w:lineRule="auto" w:line="240" w:before="0" w:after="0"/>
        <w:ind w:left="0" w:right="210" w:hanging="0"/>
        <w:jc w:val="left"/>
        <w:rPr/>
      </w:pPr>
      <w:r>
        <w:rPr>
          <w:rFonts w:eastAsia="Times New Roman" w:cs="Times New Roman" w:ascii="Times New Roman" w:hAnsi="Times New Roman"/>
          <w:sz w:val="24"/>
          <w:szCs w:val="24"/>
        </w:rPr>
        <w:br/>
      </w:r>
      <w:r>
        <w:rPr>
          <w:rFonts w:eastAsia="Arial" w:cs="Times New Roman" w:ascii="Times New Roman" w:hAnsi="Times New Roman"/>
          <w:sz w:val="24"/>
          <w:szCs w:val="24"/>
        </w:rPr>
        <w:t>Lokalizacja przedmiotowej inwestycji przedstawiona została na rysunku nr 1 pn. „Plan orientacyjny”.</w:t>
      </w:r>
    </w:p>
    <w:p>
      <w:pPr>
        <w:pStyle w:val="Akapitzlist"/>
        <w:spacing w:lineRule="exact" w:line="280"/>
        <w:ind w:left="284" w:right="0" w:hanging="0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2" w:name="__RefHeading___Toc75861309"/>
      <w:bookmarkEnd w:id="2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INWESTOR</w:t>
      </w:r>
    </w:p>
    <w:p>
      <w:pPr>
        <w:pStyle w:val="Akapitzlist"/>
        <w:spacing w:lineRule="exact" w:line="280"/>
        <w:ind w:left="284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Normal"/>
        <w:spacing w:lineRule="exact" w:line="280"/>
        <w:ind w:right="0" w:hanging="0"/>
        <w:rPr>
          <w:b/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Urząd Miasta Ostrowiec Świętokrzyski</w:t>
      </w:r>
    </w:p>
    <w:p>
      <w:pPr>
        <w:pStyle w:val="Normal"/>
        <w:spacing w:lineRule="exact" w:line="280"/>
        <w:ind w:right="0" w:hanging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ul. J. Głogowskiego 3/5, </w:t>
      </w:r>
    </w:p>
    <w:p>
      <w:pPr>
        <w:pStyle w:val="Normal"/>
        <w:spacing w:lineRule="exact" w:line="280"/>
        <w:ind w:right="0" w:hanging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27-400 Ostrowiec Świętokrzyski</w:t>
      </w:r>
    </w:p>
    <w:p>
      <w:pPr>
        <w:pStyle w:val="Akapitzlist"/>
        <w:spacing w:lineRule="exact" w:line="280"/>
        <w:ind w:left="284" w:right="0" w:hanging="0"/>
        <w:rPr>
          <w:sz w:val="24"/>
          <w:szCs w:val="24"/>
        </w:rPr>
      </w:pPr>
      <w:r>
        <w:rPr>
          <w:sz w:val="24"/>
          <w:szCs w:val="24"/>
        </w:rPr>
        <w:t xml:space="preserve">   </w:t>
      </w:r>
    </w:p>
    <w:p>
      <w:pPr>
        <w:pStyle w:val="Nagwek2"/>
        <w:numPr>
          <w:ilvl w:val="1"/>
          <w:numId w:val="4"/>
        </w:numPr>
        <w:rPr>
          <w:i w:val="false"/>
          <w:i w:val="false"/>
          <w:iCs w:val="false"/>
          <w:sz w:val="22"/>
          <w:szCs w:val="22"/>
        </w:rPr>
      </w:pPr>
      <w:bookmarkStart w:id="3" w:name="__RefHeading___Toc75861310"/>
      <w:bookmarkEnd w:id="3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PODSTAWA OPRACOWANIA</w:t>
      </w:r>
    </w:p>
    <w:p>
      <w:pPr>
        <w:pStyle w:val="Akapitzlist"/>
        <w:spacing w:lineRule="exact" w:line="280"/>
        <w:ind w:left="284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exact" w:line="280"/>
        <w:ind w:left="284" w:right="0" w:hanging="0"/>
        <w:rPr>
          <w:sz w:val="24"/>
          <w:szCs w:val="24"/>
        </w:rPr>
      </w:pPr>
      <w:r>
        <w:rPr>
          <w:sz w:val="24"/>
          <w:szCs w:val="24"/>
        </w:rPr>
        <w:t>Podstawą opracowania jest:</w:t>
      </w:r>
    </w:p>
    <w:p>
      <w:pPr>
        <w:pStyle w:val="Akapitzlist"/>
        <w:numPr>
          <w:ilvl w:val="0"/>
          <w:numId w:val="6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>
          <w:sz w:val="24"/>
          <w:szCs w:val="24"/>
        </w:rPr>
      </w:pPr>
      <w:r>
        <w:rPr>
          <w:sz w:val="24"/>
          <w:szCs w:val="24"/>
        </w:rPr>
        <w:t>Umowa z Inwestorem</w:t>
      </w:r>
    </w:p>
    <w:p>
      <w:pPr>
        <w:pStyle w:val="Akapitzlist"/>
        <w:numPr>
          <w:ilvl w:val="0"/>
          <w:numId w:val="7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Rozporządzenie Ministra Infrastruktury z dnia 24 czerwca 2022r w sprawie przepisów techniczno-budowlanych dotyczących dróg publicznych</w:t>
      </w:r>
    </w:p>
    <w:p>
      <w:pPr>
        <w:pStyle w:val="Akapitzlist"/>
        <w:numPr>
          <w:ilvl w:val="0"/>
          <w:numId w:val="7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Mapa mapa zasadnicza</w:t>
      </w:r>
    </w:p>
    <w:p>
      <w:pPr>
        <w:pStyle w:val="Akapitzlist"/>
        <w:numPr>
          <w:ilvl w:val="0"/>
          <w:numId w:val="8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Inwentaryzacja własna w terenie</w:t>
      </w:r>
    </w:p>
    <w:p>
      <w:pPr>
        <w:pStyle w:val="Akapitzlist"/>
        <w:numPr>
          <w:ilvl w:val="0"/>
          <w:numId w:val="8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Pozostałe związane akty prawne, normatywy, wytyczne.</w:t>
      </w:r>
    </w:p>
    <w:p>
      <w:pPr>
        <w:pStyle w:val="Akapitzlist"/>
        <w:numPr>
          <w:ilvl w:val="0"/>
          <w:numId w:val="0"/>
        </w:numPr>
        <w:tabs>
          <w:tab w:val="clear" w:pos="709"/>
          <w:tab w:val="left" w:pos="510" w:leader="none"/>
        </w:tabs>
        <w:spacing w:lineRule="exact" w:line="280"/>
        <w:ind w:left="1717" w:right="0" w:hanging="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Akapitzlist"/>
        <w:spacing w:lineRule="exact" w:line="280"/>
        <w:ind w:left="284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4" w:name="__RefHeading___Toc75861311"/>
      <w:bookmarkEnd w:id="4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ISTNIEJĄCY STAN ZAGOSPODAROWANIA DZIAŁKI</w:t>
      </w:r>
    </w:p>
    <w:p>
      <w:pPr>
        <w:pStyle w:val="Akapitzlist"/>
        <w:spacing w:lineRule="exact" w:line="280"/>
        <w:ind w:left="284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Standard"/>
        <w:bidi w:val="0"/>
        <w:spacing w:lineRule="exact" w:line="300"/>
        <w:jc w:val="both"/>
        <w:rPr/>
      </w:pPr>
      <w:r>
        <w:rPr>
          <w:rFonts w:cs="Times New Roman" w:ascii="Times New Roman" w:hAnsi="Times New Roman"/>
          <w:sz w:val="24"/>
          <w:szCs w:val="24"/>
        </w:rPr>
        <w:t xml:space="preserve">Rozważany odcinek ulicy K.Szymanowskiego zlokalizowany jest w na działce nr ew. </w:t>
      </w:r>
      <w:r>
        <w:rPr>
          <w:rFonts w:eastAsia="Times New Roman" w:cs="Times New Roman" w:ascii="Times New Roman" w:hAnsi="Times New Roman"/>
          <w:color w:val="auto"/>
          <w:kern w:val="2"/>
          <w:sz w:val="24"/>
          <w:szCs w:val="24"/>
          <w:lang w:val="pl-PL" w:eastAsia="zh-CN" w:bidi="ar-SA"/>
        </w:rPr>
        <w:t>10.5-1/3</w:t>
      </w:r>
      <w:r>
        <w:rPr>
          <w:rFonts w:cs="Times New Roman" w:ascii="Times New Roman" w:hAnsi="Times New Roman"/>
          <w:sz w:val="24"/>
          <w:szCs w:val="24"/>
        </w:rPr>
        <w:t>, która stanowią własność Inwestora.</w:t>
      </w:r>
    </w:p>
    <w:p>
      <w:pPr>
        <w:pStyle w:val="Standard"/>
        <w:bidi w:val="0"/>
        <w:spacing w:lineRule="exact" w:line="30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Standard"/>
        <w:bidi w:val="0"/>
        <w:spacing w:lineRule="exact" w:line="300"/>
        <w:jc w:val="both"/>
        <w:rPr/>
      </w:pPr>
      <w:r>
        <w:rPr>
          <w:rFonts w:cs="Times New Roman" w:ascii="Times New Roman" w:hAnsi="Times New Roman"/>
          <w:b/>
          <w:sz w:val="24"/>
          <w:szCs w:val="24"/>
        </w:rPr>
        <w:t>Parametry techniczne istniejącej drogi:</w:t>
      </w:r>
    </w:p>
    <w:p>
      <w:pPr>
        <w:pStyle w:val="Standard"/>
        <w:numPr>
          <w:ilvl w:val="0"/>
          <w:numId w:val="0"/>
        </w:numPr>
        <w:spacing w:lineRule="auto" w:line="276" w:before="0" w:after="0"/>
        <w:ind w:right="0" w:hanging="0"/>
        <w:jc w:val="both"/>
        <w:rPr/>
      </w:pPr>
      <w:r>
        <w:rPr>
          <w:rFonts w:cs="Times New Roman" w:ascii="Times New Roman" w:hAnsi="Times New Roman"/>
          <w:color w:val="auto"/>
          <w:sz w:val="24"/>
          <w:szCs w:val="24"/>
        </w:rPr>
        <w:t xml:space="preserve">W stanie istniejącym ulica Karola Szymanowskiego posiada przekrój uliczny z jezdnią bitumiczną wydzieloną krawężnikami oraz chodniki z kostki betonowej. W rejonie inwestycji </w:t>
        <w:br/>
        <w:t xml:space="preserve">(tj. w bezpośrednim sąsiedztwie szpitala publicznego) zorganizowane są zatoki postojowe z wydzielonymi miejscami dla osób ze szczególnymi potrzebami oraz przystanki komunikacji miejskiej. Ulica posiada odwodnienie za pomocą kanalizacji deszczowej oraz oświetlenie. </w:t>
      </w:r>
    </w:p>
    <w:p>
      <w:pPr>
        <w:pStyle w:val="Standard"/>
        <w:numPr>
          <w:ilvl w:val="0"/>
          <w:numId w:val="0"/>
        </w:numPr>
        <w:bidi w:val="0"/>
        <w:spacing w:lineRule="auto" w:line="360" w:before="0" w:after="0"/>
        <w:ind w:left="720" w:right="0" w:hanging="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cs="Times New Roman" w:ascii="Times New Roman" w:hAnsi="Times New Roman"/>
          <w:color w:val="auto"/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5" w:name="__RefHeading___Toc75861312"/>
      <w:bookmarkEnd w:id="5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PROJEKTOWANE ZAGOSPODAROWANIE DZIAŁKI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auto" w:line="276"/>
        <w:ind w:left="0" w:right="0" w:hanging="0"/>
        <w:jc w:val="both"/>
        <w:rPr/>
      </w:pPr>
      <w:r>
        <w:rPr>
          <w:sz w:val="24"/>
          <w:szCs w:val="24"/>
        </w:rPr>
        <w:t>Wszystkie roboty prowadzone będą w granicach istniejącego pasa drogowego.</w:t>
      </w:r>
    </w:p>
    <w:p>
      <w:pPr>
        <w:pStyle w:val="Akapitzlist"/>
        <w:spacing w:lineRule="auto" w:line="276"/>
        <w:ind w:left="0" w:right="0" w:hanging="0"/>
        <w:jc w:val="both"/>
        <w:rPr>
          <w:rFonts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/>
          <w:b w:val="false"/>
          <w:bCs w:val="false"/>
          <w:sz w:val="24"/>
          <w:szCs w:val="24"/>
          <w:lang w:eastAsia="pl-PL" w:bidi="ar-SA"/>
        </w:rPr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/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>Zaprojektowano zatokę postojową o dwóch stanowiskach, przeznaczoną dla samochodów osobowych. Wymiary zatoki to 5,0m x 7,2m (dwa miejsca o wymiarach 3,6mx5m każde).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/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W bezpośrednim sąsiedztwie w/w zatoki zaprojektowano chodnik o szerokości użytkowej 2,0m </w:t>
        <w:br/>
        <w:t>w celu zapewnienia ciągłości ruchu pieszego na istniejącym ciągu komunikacyjnym.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/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>Ponadto: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/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>- w rejonie każdego przejścia projektuje się obniżenie krawężników (na całej szerokości przejścia)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/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>- w rejonie każdego przejścia projektuje się nawierzchnie ostrzegawcze dla pieszych</w:t>
      </w:r>
      <w:r>
        <w:rPr>
          <w:rFonts w:eastAsia="Calibri" w:cs="Arial" w:ascii="Times New Roman" w:hAnsi="Times New Roman"/>
          <w:b/>
          <w:bCs/>
          <w:sz w:val="24"/>
          <w:szCs w:val="24"/>
          <w:lang w:eastAsia="pl-PL" w:bidi="ar-SA"/>
        </w:rPr>
        <w:t xml:space="preserve"> </w:t>
      </w: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>(kostki z wypustkami, na całej szerokości przejścia)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b w:val="false"/>
          <w:b w:val="false"/>
          <w:bCs w:val="false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>- w rejonie każdego przejścia zaplanowano ustawienie urządzeń doświetlających.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/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>Szczegóły w/w rozwiązań przedstawiono na rysunku konstrukcyjnym oraz na planie sytuacyjnym.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</w:r>
    </w:p>
    <w:p>
      <w:pPr>
        <w:pStyle w:val="Akapitzlist"/>
        <w:spacing w:lineRule="exact" w:line="320"/>
        <w:ind w:left="0" w:right="0" w:hanging="0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</w:r>
    </w:p>
    <w:p>
      <w:pPr>
        <w:pStyle w:val="Akapitzlist"/>
        <w:spacing w:lineRule="exact" w:line="280"/>
        <w:ind w:left="720" w:right="0" w:hanging="0"/>
        <w:rPr/>
      </w:pPr>
      <w:r>
        <w:rPr>
          <w:b/>
          <w:bCs/>
          <w:sz w:val="24"/>
          <w:szCs w:val="24"/>
        </w:rPr>
        <w:t>ZESTAWIENIE POWIERZCHNI POSZCZEGÓLNYCH CZĘŚCI ZAGOSPODAROWANIA TERENU:</w:t>
      </w:r>
    </w:p>
    <w:p>
      <w:pPr>
        <w:pStyle w:val="Akapitzlist"/>
        <w:spacing w:lineRule="exact" w:line="280"/>
        <w:ind w:left="426" w:right="0" w:hanging="0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tbl>
      <w:tblPr>
        <w:tblW w:w="9467" w:type="dxa"/>
        <w:jc w:val="center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insideH w:val="single" w:sz="2" w:space="0" w:color="000000"/>
        </w:tblBorders>
        <w:tblCellMar>
          <w:top w:w="0" w:type="dxa"/>
          <w:left w:w="0" w:type="dxa"/>
          <w:bottom w:w="0" w:type="dxa"/>
          <w:right w:w="0" w:type="dxa"/>
        </w:tblCellMar>
      </w:tblPr>
      <w:tblGrid>
        <w:gridCol w:w="7662"/>
        <w:gridCol w:w="1740"/>
        <w:gridCol w:w="25"/>
        <w:gridCol w:w="39"/>
      </w:tblGrid>
      <w:tr>
        <w:trPr>
          <w:trHeight w:val="358" w:hRule="atLeast"/>
        </w:trPr>
        <w:tc>
          <w:tcPr>
            <w:tcW w:w="940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Zawartotabeli"/>
              <w:bidi w:val="0"/>
              <w:spacing w:lineRule="exact" w:line="280" w:before="0" w:after="0"/>
              <w:ind w:left="0" w:right="0" w:firstLine="426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ZESTAWIENIE POWIERZCHNI</w:t>
            </w:r>
          </w:p>
        </w:tc>
        <w:tc>
          <w:tcPr>
            <w:tcW w:w="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</w:r>
          </w:p>
        </w:tc>
        <w:tc>
          <w:tcPr>
            <w:tcW w:w="39" w:type="dxa"/>
            <w:tcBorders>
              <w:top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</w:r>
          </w:p>
        </w:tc>
      </w:tr>
      <w:tr>
        <w:trPr>
          <w:trHeight w:val="258" w:hRule="atLeast"/>
        </w:trPr>
        <w:tc>
          <w:tcPr>
            <w:tcW w:w="7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  <w:vAlign w:val="center"/>
          </w:tcPr>
          <w:p>
            <w:pPr>
              <w:pStyle w:val="Zawartotabeli"/>
              <w:bidi w:val="0"/>
              <w:spacing w:lineRule="exact" w:line="280" w:before="0" w:after="0"/>
              <w:jc w:val="left"/>
              <w:rPr/>
            </w:pP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 xml:space="preserve">Powierzchnia nawierzchni objętych robotami </w:t>
              <w:br/>
              <w:t>(naw. chodnikowe i nawierzchnia zatoki postojowej - kostka betonowa)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  <w:vAlign w:val="center"/>
          </w:tcPr>
          <w:p>
            <w:pPr>
              <w:pStyle w:val="Zawartotabeli"/>
              <w:bidi w:val="0"/>
              <w:spacing w:lineRule="exact" w:line="280" w:before="0" w:after="0"/>
              <w:jc w:val="left"/>
              <w:rPr/>
            </w:pP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 xml:space="preserve">ok. </w:t>
            </w:r>
            <w:r>
              <w:rPr>
                <w:rFonts w:eastAsia="Calibri" w:cs="Times New Roman" w:ascii="Times New Roman" w:hAnsi="Times New Roman"/>
                <w:i/>
                <w:iCs/>
                <w:color w:val="auto"/>
                <w:kern w:val="2"/>
                <w:sz w:val="24"/>
                <w:szCs w:val="24"/>
                <w:lang w:val="pl-PL" w:eastAsia="zh-CN" w:bidi="ar-SA"/>
              </w:rPr>
              <w:t>160</w:t>
            </w: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>[m</w:t>
            </w: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  <w:vertAlign w:val="superscript"/>
              </w:rPr>
              <w:t>2</w:t>
            </w: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>]</w:t>
            </w:r>
          </w:p>
        </w:tc>
        <w:tc>
          <w:tcPr>
            <w:tcW w:w="25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  <w:highlight w:val="yellow"/>
              </w:rPr>
            </w:pPr>
            <w:r>
              <w:rPr>
                <w:i/>
                <w:iCs/>
                <w:sz w:val="24"/>
                <w:szCs w:val="24"/>
                <w:highlight w:val="yellow"/>
              </w:rPr>
            </w:r>
          </w:p>
        </w:tc>
        <w:tc>
          <w:tcPr>
            <w:tcW w:w="39" w:type="dxa"/>
            <w:tcBorders>
              <w:top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  <w:highlight w:val="yellow"/>
              </w:rPr>
            </w:pPr>
            <w:r>
              <w:rPr>
                <w:i/>
                <w:iCs/>
                <w:sz w:val="24"/>
                <w:szCs w:val="24"/>
                <w:highlight w:val="yellow"/>
              </w:rPr>
            </w:r>
          </w:p>
        </w:tc>
      </w:tr>
    </w:tbl>
    <w:p>
      <w:pPr>
        <w:pStyle w:val="Akapitzlist"/>
        <w:spacing w:lineRule="exact" w:line="280"/>
        <w:ind w:left="426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6" w:name="__RefHeading___Toc75861313"/>
      <w:bookmarkEnd w:id="6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DANE INFORMUJĄCE O WPISIE TERENU DO REJESTRU ZABYTKÓW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exact" w:line="280"/>
        <w:ind w:left="0" w:right="0" w:hanging="0"/>
        <w:jc w:val="both"/>
        <w:rPr>
          <w:sz w:val="24"/>
          <w:szCs w:val="24"/>
        </w:rPr>
      </w:pPr>
      <w:r>
        <w:rPr>
          <w:sz w:val="24"/>
          <w:szCs w:val="24"/>
        </w:rPr>
        <w:t>Teren znajduje się poza strefą ochrony konserwatorskiej.</w:t>
      </w:r>
    </w:p>
    <w:p>
      <w:pPr>
        <w:pStyle w:val="Akapitzlist"/>
        <w:spacing w:lineRule="exact" w:line="28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2"/>
        <w:numPr>
          <w:ilvl w:val="1"/>
          <w:numId w:val="4"/>
        </w:numPr>
        <w:tabs>
          <w:tab w:val="clear" w:pos="709"/>
          <w:tab w:val="left" w:pos="426" w:leader="none"/>
        </w:tabs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7" w:name="__RefHeading___Toc75861314"/>
      <w:bookmarkEnd w:id="7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DANE OKREŚLAJĄCE WPŁYW EKSPLOATACJI GÓRNICZEJ NA TEREN </w:t>
        <w:tab/>
        <w:t>OBJĘTY   INWESTYCJĄ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exact" w:line="280"/>
        <w:ind w:left="0" w:right="0" w:hanging="0"/>
        <w:rPr>
          <w:sz w:val="24"/>
          <w:szCs w:val="24"/>
        </w:rPr>
      </w:pPr>
      <w:r>
        <w:rPr>
          <w:sz w:val="24"/>
          <w:szCs w:val="24"/>
        </w:rPr>
        <w:t>Inwestycja nie znajduje się na terenach górniczych.</w:t>
      </w:r>
    </w:p>
    <w:p>
      <w:pPr>
        <w:pStyle w:val="Nagwek2"/>
        <w:numPr>
          <w:ilvl w:val="1"/>
          <w:numId w:val="4"/>
        </w:numPr>
        <w:ind w:left="426" w:right="0" w:hanging="426"/>
        <w:rPr>
          <w:i w:val="false"/>
          <w:i w:val="false"/>
          <w:iCs w:val="false"/>
          <w:sz w:val="24"/>
          <w:szCs w:val="24"/>
        </w:rPr>
      </w:pPr>
      <w:bookmarkStart w:id="8" w:name="__RefHeading___Toc75861315"/>
      <w:bookmarkEnd w:id="8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INFORMACJA O CHARAKTERZE I CECHACH ISTNIEJĄCYCH I PRZEWIDYWANYCH ZAGROŻEŃ DLA ŚRODOWISKA ORAZ HIGIENY I ZDROWIA UŻYTKOWNIKÓW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  <w:t>Przyjęte w niniejszym projekcie rozwiązania przestrzenne, funkcjonalne i techniczne nie będą wpływać negatywnie na środowisko przyrodnicze, zdrowie ludzi jak również na inne obiekty budowlane.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  <w:t>Oddziaływania na środowisko w postacie emisji zanieczyszczeń gazowych, pyłowych będą miały</w:t>
      </w:r>
      <w:r>
        <w:rPr>
          <w:rFonts w:cs="Times New Roman" w:ascii="Times New Roman" w:hAnsi="Times New Roman"/>
          <w:b w:val="false"/>
          <w:bCs w:val="false"/>
        </w:rPr>
        <w:t xml:space="preserve"> charakter krótkotrwały, występujący jedynie na etapie prowadzenia robót budowlanych. Będą to zanieczyszczenia pochodzące od pracy silników spalinowych maszyn, urządzeń i pojazdów budowy wykorzystywanych do realizacji inwestycji. Odpady wytworzone na miejscu budowy, stanowiące odpad powstały przy wbudowywaniu poszczególnych rodzajów i gatunków materiałów budowlanych oddane zostaną do punktów utylizacji. Odpady nadające się do ponownego przetworzenia zostaną posegregowane rodzajowo, zebrane w pojemniki do tego celu przeznaczone i oddane do lokalnego punktu gromadzenia odpadów.   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</w:rPr>
      </w:r>
    </w:p>
    <w:p>
      <w:pPr>
        <w:pStyle w:val="Textbody"/>
        <w:bidi w:val="0"/>
        <w:spacing w:lineRule="exact" w:line="280" w:before="0" w:after="0"/>
        <w:jc w:val="both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</w:rPr>
        <w:t>Zmodernizowane obiekty w postaci nawierzchni przeznaczonej dla ruchu pieszych i pojazdów nie wpłyną na pogorszenie klimatu akustycznego.  Jakiekolwiek uciążliwości w tym zakresie będą związane wyłącznie z etapem realizacji inwestycji i będą miały charakter krótkotrwały.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</w:rPr>
      </w:r>
    </w:p>
    <w:p>
      <w:pPr>
        <w:pStyle w:val="Textbody"/>
        <w:bidi w:val="0"/>
        <w:spacing w:lineRule="exact" w:line="280" w:before="0" w:after="0"/>
        <w:jc w:val="both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</w:rPr>
        <w:t xml:space="preserve">Mając na względzie zakres przewidzianych do wykonania prac należy stwierdzić, że zarówno roboty budowlane, jak i późniejsza eksploatacja nie będą wywierały ujemnego wpływu na wody powierzchniowe i podziemne na tym terenie – bez zmian w stosunku do stanu istniejącego. </w:t>
      </w:r>
    </w:p>
    <w:p>
      <w:pPr>
        <w:pStyle w:val="Textbody"/>
        <w:bidi w:val="0"/>
        <w:spacing w:lineRule="exact" w:line="280" w:before="0" w:after="0"/>
        <w:jc w:val="both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</w:rPr>
        <w:t xml:space="preserve">Warunki odwodnienia – bez zmian w stosunku do stanu istniejącego (kanalizacja deszczowa). </w:t>
      </w:r>
    </w:p>
    <w:p>
      <w:pPr>
        <w:pStyle w:val="Textbody"/>
        <w:bidi w:val="0"/>
        <w:spacing w:lineRule="exact" w:line="280" w:before="0" w:after="0"/>
        <w:jc w:val="both"/>
        <w:rPr>
          <w:b w:val="false"/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Akapitzlist"/>
        <w:spacing w:lineRule="exact" w:line="280"/>
        <w:ind w:left="0" w:right="0" w:hanging="0"/>
        <w:jc w:val="both"/>
        <w:rPr>
          <w:b w:val="false"/>
          <w:b w:val="false"/>
          <w:bCs w:val="false"/>
        </w:rPr>
      </w:pPr>
      <w:r>
        <w:rPr>
          <w:b w:val="false"/>
          <w:bCs w:val="false"/>
          <w:sz w:val="24"/>
          <w:szCs w:val="24"/>
        </w:rPr>
        <w:t>Planowana inwestycja ma charakter nieuciążliwy i nie stanowi inwestycji zaliczanych do przedsięwzięć mogących znacząco oddziaływać na środowisko naturalne w rozumieniu Rozporządzenia Rady Ministrów z dnia 9.11.2010 w sprawie przedsięwzięć mogących znacząco oddziaływać na środowisko</w:t>
      </w:r>
      <w:r>
        <w:rPr>
          <w:rFonts w:eastAsia="NSimSun"/>
          <w:b w:val="false"/>
          <w:bCs w:val="false"/>
          <w:sz w:val="24"/>
          <w:szCs w:val="24"/>
          <w:lang w:bidi="hi-IN"/>
        </w:rPr>
        <w:t>.</w:t>
      </w:r>
    </w:p>
    <w:p>
      <w:pPr>
        <w:pStyle w:val="Textbody"/>
        <w:bidi w:val="0"/>
        <w:spacing w:lineRule="exact" w:line="280" w:before="0" w:after="0"/>
        <w:ind w:right="0" w:hanging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</w:r>
    </w:p>
    <w:p>
      <w:pPr>
        <w:pStyle w:val="Textbody"/>
        <w:bidi w:val="0"/>
        <w:spacing w:lineRule="exact" w:line="280" w:before="0" w:after="0"/>
        <w:ind w:right="0" w:hanging="0"/>
        <w:jc w:val="both"/>
        <w:rPr>
          <w:b w:val="false"/>
          <w:b w:val="false"/>
          <w:bCs w:val="false"/>
        </w:rPr>
      </w:pPr>
      <w:r>
        <w:rPr>
          <w:rFonts w:cs="Times New Roman" w:ascii="Times New Roman" w:hAnsi="Times New Roman"/>
          <w:b w:val="false"/>
          <w:bCs w:val="false"/>
        </w:rPr>
        <w:t>Uwarunkowania mające wpływ na higienę i zdrowie użytkowników projektowanych obiektów i ich otoczenia.</w:t>
      </w:r>
    </w:p>
    <w:p>
      <w:pPr>
        <w:pStyle w:val="Textbody"/>
        <w:bidi w:val="0"/>
        <w:spacing w:lineRule="exact" w:line="280" w:before="0" w:after="0"/>
        <w:jc w:val="left"/>
        <w:rPr>
          <w:rFonts w:ascii="Times New Roman" w:hAnsi="Times New Roman" w:cs="Times New Roman"/>
          <w:b w:val="false"/>
          <w:b w:val="false"/>
          <w:bCs w:val="false"/>
          <w:color w:val="CE181E"/>
        </w:rPr>
      </w:pPr>
      <w:r>
        <w:rPr>
          <w:rFonts w:cs="Times New Roman" w:ascii="Times New Roman" w:hAnsi="Times New Roman"/>
          <w:b w:val="false"/>
          <w:bCs w:val="false"/>
          <w:color w:val="CE181E"/>
        </w:rPr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  <w:bCs/>
        </w:rPr>
      </w:pPr>
      <w:r>
        <w:rPr>
          <w:rFonts w:cs="Times New Roman" w:ascii="Times New Roman" w:hAnsi="Times New Roman"/>
          <w:b w:val="false"/>
          <w:bCs w:val="false"/>
        </w:rPr>
        <w:t>Z uwagi na charakter i lokalizację obiektu, nie występują uwarunkowania wpływające szczególnie negatywnie na zdrowie czy higienę użytkowników.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  <w:bCs/>
        </w:rPr>
      </w:pPr>
      <w:r>
        <w:rPr>
          <w:rFonts w:cs="Times New Roman" w:ascii="Times New Roman" w:hAnsi="Times New Roman"/>
          <w:b w:val="false"/>
          <w:bCs w:val="false"/>
        </w:rPr>
        <w:t xml:space="preserve">Modernizowane nawierzchnie zapewnią możliwość komfortowego i bezpiecznego korzystania przez wszystkich uczestników ruchu. </w:t>
      </w:r>
    </w:p>
    <w:p>
      <w:pPr>
        <w:pStyle w:val="Akapitzlist"/>
        <w:spacing w:lineRule="exact" w:line="280"/>
        <w:ind w:left="0" w:right="0" w:hanging="0"/>
        <w:jc w:val="both"/>
        <w:rPr>
          <w:b w:val="false"/>
          <w:b w:val="false"/>
          <w:bCs w:val="false"/>
          <w:lang w:eastAsia="en-US"/>
        </w:rPr>
      </w:pPr>
      <w:r>
        <w:rPr>
          <w:b w:val="false"/>
          <w:bCs w:val="false"/>
          <w:lang w:eastAsia="en-US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9" w:name="__RefHeading___Toc75861316"/>
      <w:bookmarkEnd w:id="9"/>
      <w:r>
        <w:rPr>
          <w:rFonts w:cs="Times New Roman" w:ascii="Times New Roman" w:hAnsi="Times New Roman"/>
          <w:b w:val="false"/>
          <w:bCs w:val="false"/>
          <w:i w:val="false"/>
          <w:iCs w:val="false"/>
          <w:sz w:val="22"/>
          <w:szCs w:val="22"/>
        </w:rPr>
        <w:t>UWAGI KOŃCOWE</w:t>
      </w:r>
    </w:p>
    <w:p>
      <w:pPr>
        <w:pStyle w:val="Normal"/>
        <w:spacing w:lineRule="exact" w:line="280"/>
        <w:rPr>
          <w:b w:val="false"/>
          <w:b w:val="false"/>
          <w:bCs w:val="false"/>
          <w:i/>
          <w:i/>
          <w:iCs/>
          <w:sz w:val="24"/>
          <w:szCs w:val="24"/>
        </w:rPr>
      </w:pPr>
      <w:r>
        <w:rPr>
          <w:b w:val="false"/>
          <w:bCs w:val="false"/>
          <w:i/>
          <w:iCs/>
          <w:sz w:val="24"/>
          <w:szCs w:val="24"/>
        </w:rPr>
      </w:r>
    </w:p>
    <w:p>
      <w:pPr>
        <w:pStyle w:val="Akapitzlist"/>
        <w:widowControl/>
        <w:suppressAutoHyphens w:val="true"/>
        <w:bidi w:val="0"/>
        <w:spacing w:lineRule="exact" w:line="280"/>
        <w:ind w:left="0" w:right="0" w:hanging="0"/>
        <w:jc w:val="both"/>
        <w:rPr>
          <w:sz w:val="24"/>
          <w:szCs w:val="24"/>
        </w:rPr>
      </w:pPr>
      <w:r>
        <w:rPr>
          <w:b w:val="false"/>
          <w:bCs w:val="false"/>
          <w:sz w:val="24"/>
          <w:szCs w:val="24"/>
        </w:rPr>
        <w:t>Wszelkie roboty budowlane należy wykonywać zgodnie z dokumentacją projektową pod nadzorem osoby posiadającej stosowne uprawnienia do kierowania robotami w danej specjalności.  Szczegółowe wymagania i zalecenia dotyczące realizacji robót budowlanych opisuje część opracowania pn. projekt architektoniczno-budowlany oraz odpowiednie specyfikacje techniczne wykonania i odbioru robót budowlanych.</w:t>
      </w:r>
    </w:p>
    <w:p>
      <w:pPr>
        <w:pStyle w:val="Normal"/>
        <w:ind w:left="400" w:right="0" w:hanging="0"/>
        <w:jc w:val="right"/>
        <w:rPr>
          <w:b w:val="false"/>
          <w:b w:val="false"/>
          <w:bCs w:val="false"/>
          <w:sz w:val="24"/>
          <w:szCs w:val="24"/>
        </w:rPr>
      </w:pPr>
      <w:r>
        <w:rPr>
          <w:b w:val="false"/>
          <w:bCs w:val="false"/>
          <w:sz w:val="24"/>
          <w:szCs w:val="24"/>
        </w:rPr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10" w:name="__RefHeading___Toc75861317"/>
      <w:bookmarkEnd w:id="10"/>
      <w:r>
        <w:rPr>
          <w:rStyle w:val="Mocnowyrniony"/>
          <w:rFonts w:cs="Times New Roman" w:ascii="Times New Roman" w:hAnsi="Times New Roman"/>
          <w:b/>
          <w:bCs/>
          <w:sz w:val="24"/>
          <w:szCs w:val="24"/>
        </w:rPr>
        <w:t xml:space="preserve"> </w:t>
      </w:r>
      <w:r>
        <w:rPr>
          <w:rStyle w:val="Mocnowyrniony"/>
          <w:rFonts w:cs="Times New Roman" w:ascii="Times New Roman" w:hAnsi="Times New Roman"/>
          <w:b/>
          <w:bCs/>
          <w:sz w:val="24"/>
          <w:szCs w:val="24"/>
        </w:rPr>
        <w:t>ZAGOSPODAROWANIA TERENU</w:t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11" w:name="__RefHeading___Toc75861318"/>
      <w:bookmarkEnd w:id="11"/>
      <w:r>
        <w:rPr>
          <w:rStyle w:val="Mocnowyrniony"/>
          <w:rFonts w:cs="Times New Roman" w:ascii="Times New Roman" w:hAnsi="Times New Roman"/>
          <w:b/>
          <w:bCs/>
          <w:sz w:val="24"/>
          <w:szCs w:val="24"/>
        </w:rPr>
        <w:t>CZĘŚĆ RYSUNKOWA</w:t>
      </w:r>
    </w:p>
    <w:p>
      <w:pPr>
        <w:pStyle w:val="Normal"/>
        <w:rPr>
          <w:b w:val="false"/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Normal"/>
        <w:rPr>
          <w:b w:val="false"/>
          <w:b w:val="false"/>
          <w:bCs w:val="false"/>
          <w:sz w:val="24"/>
          <w:szCs w:val="24"/>
        </w:rPr>
      </w:pPr>
      <w:r>
        <w:rPr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/>
          <w:b w:val="false"/>
          <w:b w:val="false"/>
          <w:bCs w:val="false"/>
          <w:i w:val="false"/>
          <w:i w:val="false"/>
          <w:iCs w:val="false"/>
          <w:sz w:val="24"/>
          <w:szCs w:val="24"/>
        </w:rPr>
      </w:pPr>
      <w:r>
        <w:rPr>
          <w:b w:val="false"/>
          <w:bCs w:val="false"/>
          <w:i w:val="false"/>
          <w:iCs w:val="false"/>
          <w:sz w:val="24"/>
          <w:szCs w:val="24"/>
        </w:rPr>
      </w:r>
    </w:p>
    <w:p>
      <w:pPr>
        <w:pStyle w:val="Nagwek2"/>
        <w:numPr>
          <w:ilvl w:val="1"/>
          <w:numId w:val="2"/>
        </w:numPr>
        <w:rPr>
          <w:sz w:val="24"/>
          <w:szCs w:val="24"/>
        </w:rPr>
      </w:pPr>
      <w:bookmarkStart w:id="12" w:name="__RefHeading___Toc3220_1339427135"/>
      <w:bookmarkEnd w:id="12"/>
      <w:r>
        <w:rPr>
          <w:rFonts w:ascii="Times New Roman" w:hAnsi="Times New Roman"/>
          <w:b w:val="false"/>
          <w:bCs w:val="false"/>
          <w:i w:val="false"/>
          <w:iCs w:val="false"/>
          <w:sz w:val="24"/>
          <w:szCs w:val="24"/>
        </w:rPr>
        <w:t>Plan orientacyjny (rys. nr 1).</w:t>
      </w:r>
    </w:p>
    <w:p>
      <w:pPr>
        <w:pStyle w:val="Nagwek2"/>
        <w:numPr>
          <w:ilvl w:val="1"/>
          <w:numId w:val="2"/>
        </w:numPr>
        <w:rPr>
          <w:rFonts w:ascii="Times New Roman" w:hAnsi="Times New Roman"/>
          <w:b w:val="false"/>
          <w:b w:val="false"/>
          <w:bCs w:val="false"/>
          <w:i w:val="false"/>
          <w:i w:val="false"/>
          <w:iCs w:val="false"/>
          <w:sz w:val="24"/>
          <w:szCs w:val="24"/>
        </w:rPr>
      </w:pPr>
      <w:bookmarkStart w:id="13" w:name="__RefHeading___Toc3222_1339427135"/>
      <w:bookmarkEnd w:id="13"/>
      <w:r>
        <w:rPr>
          <w:rFonts w:ascii="Times New Roman" w:hAnsi="Times New Roman"/>
          <w:b w:val="false"/>
          <w:bCs w:val="false"/>
          <w:i w:val="false"/>
          <w:iCs w:val="false"/>
          <w:sz w:val="24"/>
          <w:szCs w:val="24"/>
        </w:rPr>
        <w:t>Plan sytuacyjny (rys. nr 2.a – 2.c).</w:t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14" w:name="__RefHeading___Toc415_2367410010"/>
      <w:bookmarkEnd w:id="14"/>
      <w:r>
        <w:rPr>
          <w:rStyle w:val="Mocnowyrniony"/>
          <w:rFonts w:cs="Times New Roman" w:ascii="Times New Roman" w:hAnsi="Times New Roman"/>
          <w:sz w:val="24"/>
          <w:szCs w:val="24"/>
        </w:rPr>
        <w:t xml:space="preserve">INFORMACJA DOTYCZĄCA PLANU BEZPIECZEŃSTWA </w:t>
        <w:br/>
        <w:t>I OCHRONY ZDROWIA</w:t>
      </w:r>
    </w:p>
    <w:p>
      <w:pPr>
        <w:pStyle w:val="Normal"/>
        <w:jc w:val="center"/>
        <w:rPr/>
      </w:pPr>
      <w:r>
        <w:rPr/>
      </w:r>
    </w:p>
    <w:p>
      <w:pPr>
        <w:pStyle w:val="Normal"/>
        <w:numPr>
          <w:ilvl w:val="0"/>
          <w:numId w:val="5"/>
        </w:numPr>
        <w:ind w:left="284" w:right="-156" w:hanging="284"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Zakres robót zamierzenia budowlanego oraz kolejność realizacji urządzeń towarzyszących</w:t>
      </w:r>
    </w:p>
    <w:p>
      <w:pPr>
        <w:pStyle w:val="Normal"/>
        <w:ind w:left="142" w:right="0" w:hanging="0"/>
        <w:rPr>
          <w:sz w:val="24"/>
          <w:szCs w:val="24"/>
        </w:rPr>
      </w:pPr>
      <w:r>
        <w:rPr>
          <w:sz w:val="24"/>
          <w:szCs w:val="24"/>
        </w:rPr>
        <w:t>Główne roboty budowlane prowadzone będą w następującej kolejności:</w:t>
      </w:r>
    </w:p>
    <w:p>
      <w:pPr>
        <w:pStyle w:val="Normal"/>
        <w:numPr>
          <w:ilvl w:val="0"/>
          <w:numId w:val="10"/>
        </w:numPr>
        <w:rPr>
          <w:iCs/>
          <w:sz w:val="24"/>
          <w:szCs w:val="24"/>
        </w:rPr>
      </w:pPr>
      <w:r>
        <w:rPr>
          <w:iCs/>
          <w:sz w:val="24"/>
          <w:szCs w:val="24"/>
        </w:rPr>
        <w:t xml:space="preserve">wytyczenie geodezyjne 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rozbiórki istniejących nawierzchni z kostki betonowej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wbudowanie infrastruktury podziemnej oraz elementów zabezpieczających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instalacja urządzeń doświetlających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wbudowanie nowych elementów nawierzchniowych</w:t>
      </w:r>
    </w:p>
    <w:p>
      <w:pPr>
        <w:pStyle w:val="Normal"/>
        <w:numPr>
          <w:ilvl w:val="0"/>
          <w:numId w:val="10"/>
        </w:numPr>
        <w:rPr>
          <w:iCs/>
          <w:sz w:val="24"/>
          <w:szCs w:val="24"/>
        </w:rPr>
      </w:pPr>
      <w:r>
        <w:rPr>
          <w:iCs/>
          <w:sz w:val="24"/>
          <w:szCs w:val="24"/>
        </w:rPr>
        <w:t>odtworzenie rozebranych nawierzchni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wykonanie oznakowania poziomego i pionowego</w:t>
      </w:r>
    </w:p>
    <w:p>
      <w:pPr>
        <w:pStyle w:val="Normal"/>
        <w:ind w:left="862" w:right="0" w:hanging="0"/>
        <w:rPr>
          <w:iCs/>
          <w:sz w:val="24"/>
          <w:szCs w:val="24"/>
        </w:rPr>
      </w:pPr>
      <w:r>
        <w:rPr>
          <w:iCs/>
          <w:sz w:val="24"/>
          <w:szCs w:val="24"/>
        </w:rPr>
      </w:r>
    </w:p>
    <w:p>
      <w:pPr>
        <w:pStyle w:val="Normal"/>
        <w:ind w:left="708" w:right="0" w:hanging="566"/>
        <w:rPr>
          <w:sz w:val="24"/>
          <w:szCs w:val="24"/>
        </w:rPr>
      </w:pPr>
      <w:r>
        <w:rPr>
          <w:sz w:val="24"/>
          <w:szCs w:val="24"/>
        </w:rPr>
        <w:t>Wykaz istniejących obiektów budowlanych:</w:t>
      </w:r>
    </w:p>
    <w:p>
      <w:pPr>
        <w:pStyle w:val="Normal"/>
        <w:rPr/>
      </w:pPr>
      <w:r>
        <w:rPr>
          <w:sz w:val="24"/>
          <w:szCs w:val="24"/>
          <w:u w:val="none"/>
        </w:rPr>
        <w:t xml:space="preserve">  </w:t>
      </w:r>
      <w:r>
        <w:rPr>
          <w:sz w:val="24"/>
          <w:szCs w:val="24"/>
          <w:u w:val="none"/>
        </w:rPr>
        <w:t>Szpital publiczny oraz związana z nim infrastruktura.</w:t>
      </w:r>
    </w:p>
    <w:p>
      <w:pPr>
        <w:pStyle w:val="Akapitzlist"/>
        <w:ind w:left="142" w:right="0" w:hanging="0"/>
        <w:jc w:val="both"/>
        <w:rPr>
          <w:rFonts w:eastAsia="Times New Roman" w:cs="Times New Roman"/>
          <w:i w:val="false"/>
          <w:i w:val="false"/>
          <w:iCs/>
          <w:color w:val="auto"/>
          <w:kern w:val="2"/>
          <w:sz w:val="24"/>
          <w:szCs w:val="24"/>
          <w:highlight w:val="yellow"/>
          <w:lang w:val="pl-PL" w:eastAsia="zh-CN" w:bidi="ar-SA"/>
        </w:rPr>
      </w:pPr>
      <w:r>
        <w:rPr>
          <w:rFonts w:eastAsia="Times New Roman" w:cs="Times New Roman"/>
          <w:i w:val="false"/>
          <w:iCs/>
          <w:color w:val="auto"/>
          <w:kern w:val="2"/>
          <w:sz w:val="24"/>
          <w:szCs w:val="24"/>
          <w:highlight w:val="yellow"/>
          <w:lang w:val="pl-PL" w:eastAsia="zh-CN" w:bidi="ar-SA"/>
        </w:rPr>
      </w:r>
    </w:p>
    <w:p>
      <w:pPr>
        <w:pStyle w:val="Akapitzlist"/>
        <w:ind w:left="142" w:right="0" w:hanging="0"/>
        <w:jc w:val="both"/>
        <w:rPr>
          <w:rFonts w:eastAsia="Times New Roman" w:cs="Times New Roman"/>
          <w:i/>
          <w:i/>
          <w:iCs/>
          <w:color w:val="00B050"/>
          <w:kern w:val="2"/>
          <w:sz w:val="22"/>
          <w:szCs w:val="22"/>
          <w:highlight w:val="yellow"/>
          <w:lang w:val="pl-PL" w:eastAsia="zh-CN" w:bidi="ar-SA"/>
        </w:rPr>
      </w:pPr>
      <w:r>
        <w:rPr>
          <w:rFonts w:eastAsia="Times New Roman" w:cs="Times New Roman"/>
          <w:i/>
          <w:iCs/>
          <w:color w:val="00B050"/>
          <w:kern w:val="2"/>
          <w:sz w:val="22"/>
          <w:szCs w:val="22"/>
          <w:highlight w:val="yellow"/>
          <w:lang w:val="pl-PL" w:eastAsia="zh-CN" w:bidi="ar-SA"/>
        </w:rPr>
      </w:r>
    </w:p>
    <w:p>
      <w:pPr>
        <w:pStyle w:val="Normal"/>
        <w:numPr>
          <w:ilvl w:val="0"/>
          <w:numId w:val="5"/>
        </w:numPr>
        <w:ind w:left="284" w:right="0" w:hanging="284"/>
        <w:rPr/>
      </w:pPr>
      <w:r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Elementy, które mogą stwarzać zagrożenie dla bezpieczeństwa i zdrowia ludzi</w:t>
      </w:r>
    </w:p>
    <w:p>
      <w:pPr>
        <w:pStyle w:val="Normal"/>
        <w:ind w:left="708" w:right="0" w:hanging="566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Planowana modernizacja nawierzchni prowadzona będzie w typowej technologii co za tym idzie, nie przewiduje się czynności stwarzających ponadstandardowe ryzyko powstania zagrożenia bezpieczeństwa i zdrowia ludzi. 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Nie przewiduje się wykorzystywania ciężkich elementów prefabrykowanych jak również udziału innych szczególnie niebezpiecznych robót budowlanych.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rFonts w:eastAsia="Times New Roman" w:cs="Times New Roman"/>
          <w:color w:val="auto"/>
          <w:kern w:val="2"/>
          <w:sz w:val="24"/>
          <w:szCs w:val="24"/>
          <w:lang w:val="pl-PL" w:eastAsia="zh-CN" w:bidi="ar-SA"/>
        </w:rPr>
      </w:pPr>
      <w:r>
        <w:rPr>
          <w:rFonts w:eastAsia="Times New Roman" w:cs="Times New Roman"/>
          <w:color w:val="auto"/>
          <w:kern w:val="2"/>
          <w:sz w:val="24"/>
          <w:szCs w:val="24"/>
          <w:lang w:val="pl-PL" w:eastAsia="zh-CN" w:bidi="ar-SA"/>
        </w:rPr>
      </w:r>
    </w:p>
    <w:p>
      <w:pPr>
        <w:pStyle w:val="Normal"/>
        <w:numPr>
          <w:ilvl w:val="0"/>
          <w:numId w:val="5"/>
        </w:numPr>
        <w:ind w:left="284" w:right="0" w:hanging="284"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Zagrożenia, które mogą wystąpić w trakcie budowy</w:t>
      </w:r>
    </w:p>
    <w:p>
      <w:pPr>
        <w:pStyle w:val="Normal"/>
        <w:ind w:left="708" w:right="0" w:hanging="566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Czynności, które mogą stanowić potencjalne zagrożenie w trakcie realizacji robót budowlanych związane będą między innymi z: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pracą sprzętu w tracie dowozu i rozładunku materiałów budowlanych 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- pracą maszyn w trakcie układania nawierzchni drogowych</w:t>
      </w:r>
    </w:p>
    <w:p>
      <w:pPr>
        <w:pStyle w:val="Normal"/>
        <w:jc w:val="both"/>
        <w:rPr/>
      </w:pPr>
      <w:r>
        <w:rPr>
          <w:sz w:val="24"/>
          <w:szCs w:val="24"/>
        </w:rPr>
        <w:t>- pracą w rejonie uzbrojenia podziemnego / naziemnego</w:t>
      </w:r>
    </w:p>
    <w:p>
      <w:pPr>
        <w:pStyle w:val="Normal"/>
        <w:jc w:val="both"/>
        <w:rPr/>
      </w:pPr>
      <w:r>
        <w:rPr>
          <w:sz w:val="24"/>
          <w:szCs w:val="24"/>
        </w:rPr>
        <w:t>- praca w rejonie wzmożonego ruchu samochodowego (karetki pogotowia, autobusy, pacjenci szpitala).</w:t>
      </w:r>
    </w:p>
    <w:p>
      <w:pPr>
        <w:pStyle w:val="Normal"/>
        <w:jc w:val="both"/>
        <w:rPr/>
      </w:pPr>
      <w:r>
        <w:rPr/>
      </w:r>
    </w:p>
    <w:p>
      <w:pPr>
        <w:pStyle w:val="Normal"/>
        <w:ind w:left="708" w:right="0" w:hanging="566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Akapitzlist"/>
        <w:numPr>
          <w:ilvl w:val="0"/>
          <w:numId w:val="5"/>
        </w:numPr>
        <w:spacing w:before="0" w:after="0"/>
        <w:ind w:left="284" w:right="0" w:hanging="284"/>
        <w:contextualSpacing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Sposób prowadzenia instruktażu pracowników przed przystąpieniem do realizacji robót szczególnie niebezpiecznych</w:t>
      </w:r>
    </w:p>
    <w:p>
      <w:pPr>
        <w:pStyle w:val="Normal"/>
        <w:ind w:left="708" w:right="0" w:hanging="566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Kierownik budowy jest zobowiązany do udzielenia szczegółowego instruktażu zatrudnionym na budowie pracownikom w zakresie przestrzegania obowiązujących przepisów i zasad bezpieczeństwa pracy. Dodatkowo pracownicy, przed rozpoczęciem robót, powinni być poinformowani przez przełożonego o zakresie ich obowiązków, sposobie wykonywania pracy na wyznaczonym stanowisku, ryzyku zawodowym związanym z wykonywaną pracą oraz o zasadach ochrony przed zagrożeniami.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numPr>
          <w:ilvl w:val="0"/>
          <w:numId w:val="5"/>
        </w:numPr>
        <w:ind w:left="284" w:right="0" w:hanging="284"/>
        <w:jc w:val="both"/>
        <w:rPr/>
      </w:pPr>
      <w:r>
        <w:rPr>
          <w:b/>
          <w:sz w:val="24"/>
          <w:szCs w:val="24"/>
        </w:rPr>
        <w:t>Środki techniczne i organizacyjne zapewniające bezpieczeństwo</w:t>
      </w:r>
    </w:p>
    <w:p>
      <w:pPr>
        <w:pStyle w:val="Normal"/>
        <w:ind w:left="708" w:right="0" w:hanging="566"/>
        <w:jc w:val="both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Zagospodarowanie terenu budowy wykonuje się co najmniej w zakresie:</w:t>
      </w:r>
    </w:p>
    <w:p>
      <w:pPr>
        <w:pStyle w:val="Normal"/>
        <w:numPr>
          <w:ilvl w:val="0"/>
          <w:numId w:val="9"/>
        </w:numPr>
        <w:jc w:val="both"/>
        <w:rPr/>
      </w:pPr>
      <w:r>
        <w:rPr>
          <w:sz w:val="24"/>
          <w:szCs w:val="24"/>
        </w:rPr>
        <w:t>zorganizowania niezbędnych wygrodzeń</w:t>
      </w:r>
    </w:p>
    <w:p>
      <w:pPr>
        <w:pStyle w:val="Normal"/>
        <w:numPr>
          <w:ilvl w:val="0"/>
          <w:numId w:val="9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zapewnienia oświetlenia naturalnego ew. sztucznego</w:t>
      </w:r>
    </w:p>
    <w:p>
      <w:pPr>
        <w:pStyle w:val="Normal"/>
        <w:numPr>
          <w:ilvl w:val="0"/>
          <w:numId w:val="9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urządzenia składowisk materiałów i wyrobów </w:t>
      </w:r>
    </w:p>
    <w:p>
      <w:pPr>
        <w:pStyle w:val="Normal"/>
        <w:numPr>
          <w:ilvl w:val="0"/>
          <w:numId w:val="9"/>
        </w:numPr>
        <w:rPr/>
      </w:pPr>
      <w:r>
        <w:rPr>
          <w:sz w:val="24"/>
          <w:szCs w:val="24"/>
        </w:rPr>
        <w:t>na terenie budowy należy zabezpieczyć apteczkę pierwszej pomocy i sprzęt gaśniczy</w:t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W trakcie wykonywania robót budowlanych kierownik budowy winien zapewnić odpowiednie oznakowanie rejonu prowadzonych robót a także zapewnić niekolidujące z dojazdem do posesji prywatnych trasy dostaw materiałów budowlanych oraz sprzętu budowlanego. 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/>
      </w:pPr>
      <w:r>
        <w:rPr>
          <w:sz w:val="24"/>
          <w:szCs w:val="24"/>
        </w:rPr>
        <w:t>Kierownik robót jest zobowiązany chronić zdrowie i życie pracowników przez zapewnienie bezpiecznych i higienicznych warunków pracy a przed przystąpieniem do robót budowlanych - do sporządzenia planu bezpieczeństwa i ochrony zdrowia.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/>
      </w:pPr>
      <w:r>
        <w:rPr>
          <w:b/>
          <w:bCs/>
          <w:sz w:val="24"/>
          <w:szCs w:val="24"/>
          <w:u w:val="single"/>
        </w:rPr>
        <w:t>UWAGA:</w:t>
      </w:r>
      <w:r>
        <w:rPr>
          <w:b/>
          <w:bCs/>
          <w:sz w:val="24"/>
          <w:szCs w:val="24"/>
          <w:u w:val="none"/>
        </w:rPr>
        <w:t xml:space="preserve">  </w:t>
      </w:r>
      <w:r>
        <w:rPr>
          <w:sz w:val="24"/>
          <w:szCs w:val="24"/>
        </w:rPr>
        <w:t>ze względu na lokalizację inwestycji, Wykonawca każdorazowo zobowiązany jest do uprzedniego uzgodnienia z Inwestorem/Inspektorem nadzoru, miejsc ewentualnego składowania materiałów budowlanych oraz tras dostaw w taki sposób aby nie powodować utrudnień dla służb medycznych pobliskiego szpitala (w szczególności nie dopuszcza się całkowitych zamknięć ulicy w rejonie realizowanych robót).</w:t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right="0" w:hanging="0"/>
        <w:jc w:val="right"/>
        <w:rPr/>
      </w:pPr>
      <w:r>
        <w:rPr/>
      </w:r>
      <w:r>
        <w:br w:type="page"/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15" w:name="__RefHeading___Toc417_2367410010"/>
      <w:bookmarkEnd w:id="15"/>
      <w:r>
        <w:rPr>
          <w:rStyle w:val="Mocnowyrniony"/>
          <w:rFonts w:cs="Times New Roman" w:ascii="Times New Roman" w:hAnsi="Times New Roman"/>
          <w:sz w:val="24"/>
          <w:szCs w:val="24"/>
        </w:rPr>
        <w:t>PROJEKT ARCHITEKTONICZNO-BUDOWLANY</w:t>
      </w:r>
    </w:p>
    <w:p>
      <w:pPr>
        <w:pStyle w:val="Normal"/>
        <w:jc w:val="center"/>
        <w:rPr/>
      </w:pPr>
      <w:r>
        <w:rPr/>
      </w:r>
    </w:p>
    <w:p>
      <w:pPr>
        <w:pStyle w:val="Nagwek2"/>
        <w:numPr>
          <w:ilvl w:val="1"/>
          <w:numId w:val="3"/>
        </w:numPr>
        <w:rPr>
          <w:i w:val="false"/>
          <w:i w:val="false"/>
          <w:iCs w:val="false"/>
          <w:sz w:val="24"/>
          <w:szCs w:val="24"/>
        </w:rPr>
      </w:pPr>
      <w:bookmarkStart w:id="16" w:name="__RefHeading___Toc419_2367410010"/>
      <w:bookmarkEnd w:id="16"/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 xml:space="preserve">  </w:t>
      </w:r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 xml:space="preserve">PRZEZNACZENIE I PROGRAM UŻYTKOWY OBIEKTU </w:t>
      </w:r>
    </w:p>
    <w:p>
      <w:pPr>
        <w:pStyle w:val="Normal"/>
        <w:ind w:left="709" w:right="0" w:hanging="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Przeznaczenie projektowanej zatoki postojowej:  dedykowana osobom z niepełniosprawnościami.</w:t>
      </w:r>
    </w:p>
    <w:p>
      <w:pPr>
        <w:pStyle w:val="Normal"/>
        <w:jc w:val="both"/>
        <w:rPr/>
      </w:pPr>
      <w:r>
        <w:rPr>
          <w:sz w:val="22"/>
          <w:szCs w:val="22"/>
        </w:rPr>
        <w:t xml:space="preserve">Przeznaczenie obiektu (droga gminna) – bez zmian w stosunku do stanu istniejącego </w:t>
        <w:br/>
        <w:t>(ulica istniejąca,  dla ogólnodostępnego ruchu pojazdów i pieszych).</w:t>
      </w:r>
    </w:p>
    <w:p>
      <w:pPr>
        <w:pStyle w:val="Normal"/>
        <w:jc w:val="both"/>
        <w:rPr/>
      </w:pPr>
      <w:r>
        <w:rPr/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Charakterystyczne parametry techniczne:</w:t>
      </w:r>
    </w:p>
    <w:p>
      <w:pPr>
        <w:pStyle w:val="Normal"/>
        <w:jc w:val="both"/>
        <w:rPr/>
      </w:pPr>
      <w:r>
        <w:rPr>
          <w:sz w:val="22"/>
          <w:szCs w:val="22"/>
        </w:rPr>
        <w:t>Nawierzchnie chodników i zatoki postojowej objętej robotami (budowa/przebudowa):  łącznie ok. 160</w:t>
      </w:r>
      <w:r>
        <w:rPr>
          <w:rFonts w:eastAsia="Times New Roman" w:cs="Times New Roman"/>
          <w:color w:val="auto"/>
          <w:kern w:val="2"/>
          <w:sz w:val="22"/>
          <w:szCs w:val="22"/>
          <w:lang w:val="pl-PL" w:eastAsia="zh-CN" w:bidi="ar-SA"/>
        </w:rPr>
        <w:t xml:space="preserve"> </w:t>
      </w:r>
      <w:r>
        <w:rPr>
          <w:sz w:val="22"/>
          <w:szCs w:val="22"/>
        </w:rPr>
        <w:t>m</w:t>
      </w:r>
      <w:r>
        <w:rPr>
          <w:sz w:val="22"/>
          <w:szCs w:val="22"/>
          <w:vertAlign w:val="superscript"/>
        </w:rPr>
        <w:t>2</w:t>
      </w:r>
      <w:r>
        <w:rPr>
          <w:position w:val="0"/>
          <w:sz w:val="22"/>
          <w:sz w:val="22"/>
          <w:szCs w:val="22"/>
          <w:vertAlign w:val="baseline"/>
        </w:rPr>
        <w:t>.</w:t>
      </w:r>
    </w:p>
    <w:p>
      <w:pPr>
        <w:pStyle w:val="Normal"/>
        <w:jc w:val="both"/>
        <w:rPr/>
      </w:pPr>
      <w:r>
        <w:rPr/>
      </w:r>
    </w:p>
    <w:p>
      <w:pPr>
        <w:pStyle w:val="Normal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eastAsia="Times New Roman" w:cs="Times New Roman"/>
          <w:b/>
          <w:b/>
          <w:bCs/>
          <w:i w:val="false"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</w:pPr>
      <w:bookmarkStart w:id="17" w:name="__RefHeading___Toc75861322"/>
      <w:bookmarkEnd w:id="17"/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 xml:space="preserve">  </w:t>
      </w:r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>FORMA ARCHITEKTONICZNA I FUNKCJA OBIEKTU</w:t>
      </w:r>
    </w:p>
    <w:p>
      <w:pPr>
        <w:pStyle w:val="Normal"/>
        <w:jc w:val="both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Standard"/>
        <w:bidi w:val="0"/>
        <w:spacing w:lineRule="exact" w:line="300"/>
        <w:jc w:val="both"/>
        <w:rPr/>
      </w:pPr>
      <w:r>
        <w:rPr>
          <w:rFonts w:eastAsia="Times New Roman" w:cs="Times New Roman" w:ascii="Times New Roman" w:hAnsi="Times New Roman"/>
          <w:b w:val="false"/>
          <w:bCs w:val="false"/>
          <w:i w:val="false"/>
          <w:iCs w:val="false"/>
          <w:color w:val="auto"/>
          <w:kern w:val="0"/>
          <w:sz w:val="22"/>
          <w:szCs w:val="22"/>
          <w:lang w:val="pl-PL" w:eastAsia="zh-CN" w:bidi="ar-SA"/>
        </w:rPr>
        <w:t xml:space="preserve">Przebudowa </w:t>
      </w:r>
      <w:r>
        <w:rPr>
          <w:rFonts w:eastAsia="Times New Roman" w:cs="Times New Roman" w:ascii="Times New Roman" w:hAnsi="Times New Roman"/>
          <w:kern w:val="0"/>
        </w:rPr>
        <w:t>drogi (budowa i przebudowa chodnika, budowa zatoki postojowej) zostanie wykonana przy użyciu kostki betonowej – zgodnie z obiektami sąsiednimi o tym samym charakterze.</w:t>
      </w:r>
    </w:p>
    <w:p>
      <w:pPr>
        <w:pStyle w:val="Normal"/>
        <w:jc w:val="both"/>
        <w:rPr/>
      </w:pPr>
      <w:r>
        <w:rPr>
          <w:sz w:val="22"/>
          <w:szCs w:val="22"/>
        </w:rPr>
        <w:t>Podstawowa funkcja projektowanych obiektów:  bez zmian – ulica zapewniająca komunikację pieszo-jezdną.</w:t>
      </w:r>
    </w:p>
    <w:p>
      <w:pPr>
        <w:pStyle w:val="Normal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18" w:name="__RefHeading___Toc1786_1339427135"/>
      <w:bookmarkEnd w:id="18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UKŁAD KONSTRUKCYJNY PRZEBUDOWYWANYCH OBIEKTÓW</w:t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Akapitzlist"/>
        <w:ind w:left="0" w:right="0" w:hanging="0"/>
        <w:jc w:val="both"/>
        <w:rPr/>
      </w:pPr>
      <w:r>
        <w:rPr>
          <w:sz w:val="22"/>
          <w:szCs w:val="22"/>
        </w:rPr>
        <w:t>Projektowana konstrukcja budowanych/przebudowywanych nawierzchni chodnikowych:</w:t>
      </w:r>
    </w:p>
    <w:p>
      <w:pPr>
        <w:pStyle w:val="Akapitzlist"/>
        <w:ind w:left="0" w:right="0" w:hanging="0"/>
        <w:jc w:val="both"/>
        <w:rPr/>
      </w:pPr>
      <w:r>
        <w:rPr/>
      </w:r>
    </w:p>
    <w:p>
      <w:pPr>
        <w:pStyle w:val="Akapitzlist"/>
        <w:jc w:val="both"/>
        <w:rPr/>
      </w:pPr>
      <w:r>
        <w:rPr>
          <w:sz w:val="22"/>
          <w:szCs w:val="22"/>
        </w:rPr>
        <w:t>- kostka betonowa  / kostka betonowa ostrzegawcza, gr. 8 cm</w:t>
      </w:r>
    </w:p>
    <w:p>
      <w:pPr>
        <w:pStyle w:val="Akapitzlist"/>
        <w:jc w:val="left"/>
        <w:rPr/>
      </w:pPr>
      <w:r>
        <w:rPr>
          <w:sz w:val="22"/>
          <w:szCs w:val="22"/>
        </w:rPr>
        <w:t>- podsypka cementowo – piaskowa, gr. 5cm</w:t>
        <w:br/>
        <w:t>- podbudowa z kruszywa łamanego fr. 0-31,5mm C</w:t>
      </w:r>
      <w:r>
        <w:rPr>
          <w:sz w:val="22"/>
          <w:szCs w:val="22"/>
          <w:vertAlign w:val="subscript"/>
        </w:rPr>
        <w:t>90/3</w:t>
      </w:r>
      <w:r>
        <w:rPr>
          <w:position w:val="0"/>
          <w:sz w:val="22"/>
          <w:sz w:val="22"/>
          <w:szCs w:val="22"/>
          <w:vertAlign w:val="baseline"/>
        </w:rPr>
        <w:t xml:space="preserve">, </w:t>
      </w:r>
      <w:r>
        <w:rPr>
          <w:sz w:val="22"/>
          <w:szCs w:val="22"/>
        </w:rPr>
        <w:t xml:space="preserve"> gr. 15cm</w:t>
      </w:r>
    </w:p>
    <w:p>
      <w:pPr>
        <w:pStyle w:val="Akapitzlist"/>
        <w:jc w:val="left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Akapitzlist"/>
        <w:jc w:val="left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Akapitzlist"/>
        <w:ind w:left="0" w:right="0" w:hanging="0"/>
        <w:jc w:val="both"/>
        <w:rPr/>
      </w:pPr>
      <w:r>
        <w:rPr>
          <w:sz w:val="22"/>
          <w:szCs w:val="22"/>
        </w:rPr>
        <w:t>Projektowana konstrukcja budowanej nawierzchni zatoki postojowej:</w:t>
      </w:r>
    </w:p>
    <w:p>
      <w:pPr>
        <w:pStyle w:val="Akapitzlist"/>
        <w:ind w:left="0" w:right="0" w:hanging="0"/>
        <w:jc w:val="both"/>
        <w:rPr/>
      </w:pPr>
      <w:r>
        <w:rPr/>
      </w:r>
    </w:p>
    <w:p>
      <w:pPr>
        <w:pStyle w:val="Akapitzlist"/>
        <w:jc w:val="both"/>
        <w:rPr/>
      </w:pPr>
      <w:r>
        <w:rPr>
          <w:sz w:val="22"/>
          <w:szCs w:val="22"/>
        </w:rPr>
        <w:t>- kostka betonowa  / kostka betonowa ostrzegawcza, gr. 8 cm</w:t>
      </w:r>
    </w:p>
    <w:p>
      <w:pPr>
        <w:pStyle w:val="Akapitzlist"/>
        <w:jc w:val="left"/>
        <w:rPr/>
      </w:pPr>
      <w:r>
        <w:rPr>
          <w:sz w:val="22"/>
          <w:szCs w:val="22"/>
        </w:rPr>
        <w:t>- podsypka cementowo – piaskowa, gr. 5cm</w:t>
        <w:br/>
        <w:t>- podbudowa z kruszywa łamanego fr. 0-31,5mm C</w:t>
      </w:r>
      <w:r>
        <w:rPr>
          <w:sz w:val="22"/>
          <w:szCs w:val="22"/>
          <w:vertAlign w:val="subscript"/>
        </w:rPr>
        <w:t>90/3</w:t>
      </w:r>
      <w:r>
        <w:rPr>
          <w:position w:val="0"/>
          <w:sz w:val="22"/>
          <w:sz w:val="22"/>
          <w:szCs w:val="22"/>
          <w:vertAlign w:val="baseline"/>
        </w:rPr>
        <w:t xml:space="preserve">, </w:t>
      </w:r>
      <w:r>
        <w:rPr>
          <w:sz w:val="22"/>
          <w:szCs w:val="22"/>
        </w:rPr>
        <w:t xml:space="preserve"> gr. 15cm</w:t>
      </w:r>
    </w:p>
    <w:p>
      <w:pPr>
        <w:pStyle w:val="Akapitzlist"/>
        <w:jc w:val="left"/>
        <w:rPr>
          <w:sz w:val="22"/>
          <w:szCs w:val="22"/>
        </w:rPr>
      </w:pPr>
      <w:r>
        <w:rPr>
          <w:sz w:val="22"/>
          <w:szCs w:val="22"/>
        </w:rPr>
        <w:t>- podbudowa z mieszanki związanej cementem C</w:t>
      </w:r>
      <w:r>
        <w:rPr>
          <w:sz w:val="22"/>
          <w:szCs w:val="22"/>
          <w:vertAlign w:val="subscript"/>
        </w:rPr>
        <w:t>3/4</w:t>
      </w:r>
      <w:r>
        <w:rPr>
          <w:position w:val="0"/>
          <w:sz w:val="22"/>
          <w:sz w:val="22"/>
          <w:szCs w:val="22"/>
          <w:vertAlign w:val="baseline"/>
        </w:rPr>
        <w:t xml:space="preserve">, </w:t>
      </w:r>
      <w:r>
        <w:rPr>
          <w:sz w:val="22"/>
          <w:szCs w:val="22"/>
        </w:rPr>
        <w:t xml:space="preserve"> gr. 15cm</w:t>
      </w:r>
    </w:p>
    <w:p>
      <w:pPr>
        <w:pStyle w:val="Akapitzlist"/>
        <w:jc w:val="left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Akapitzlist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0"/>
          <w:numId w:val="0"/>
        </w:numPr>
        <w:ind w:left="0" w:hanging="0"/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19" w:name="__RefHeading___Toc75861324"/>
      <w:bookmarkEnd w:id="19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ROZWIĄZANIA BUDOWLANE I TECHNICZNO-INSTALACYJNE ORAZ ROZWIĄZANIA TECHNICZNO-BUDOWLANE W MIEJSCACH CHARAKTERYSTYCZNYCH.</w:t>
      </w:r>
    </w:p>
    <w:p>
      <w:pPr>
        <w:pStyle w:val="Akapitzlist"/>
        <w:ind w:left="400" w:right="0" w:hanging="0"/>
        <w:jc w:val="both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Akapitzlist"/>
        <w:ind w:left="0" w:right="0" w:hanging="0"/>
        <w:jc w:val="both"/>
        <w:rPr/>
      </w:pPr>
      <w:r>
        <w:rPr>
          <w:sz w:val="22"/>
          <w:szCs w:val="22"/>
        </w:rPr>
        <w:t xml:space="preserve">Nawierzchnie chodnikowe będą ukształtowane w dopasowaniu wysokościowym do terenu istniejącego. </w:t>
      </w:r>
    </w:p>
    <w:p>
      <w:pPr>
        <w:pStyle w:val="Akapitzlist"/>
        <w:ind w:left="0" w:right="0" w:hanging="0"/>
        <w:jc w:val="both"/>
        <w:rPr/>
      </w:pPr>
      <w:r>
        <w:rPr/>
      </w:r>
    </w:p>
    <w:p>
      <w:pPr>
        <w:pStyle w:val="Normal"/>
        <w:jc w:val="both"/>
        <w:rPr>
          <w:u w:val="single"/>
        </w:rPr>
      </w:pPr>
      <w:r>
        <w:rPr>
          <w:b/>
          <w:bCs/>
          <w:i w:val="false"/>
          <w:iCs w:val="false"/>
          <w:sz w:val="22"/>
          <w:szCs w:val="22"/>
          <w:u w:val="single"/>
        </w:rPr>
        <w:t>UWAGA: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 xml:space="preserve">W rejonie przejść dla pieszych pochylenie nawierzchni chodnika nie powinno przekraczać 5%. 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>W rejonie przejścia dla pieszych należy zapewnić właściwe obniżenie krawężnika (jego wysokość nie powinna przekraczać 2cm powyżej nawierzchni jezdni). Zalecane jest zapewnienie wyniesienia na poziomie 1cm.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/>
      </w:pPr>
      <w:r>
        <w:rPr>
          <w:iCs/>
          <w:sz w:val="22"/>
          <w:szCs w:val="22"/>
        </w:rPr>
        <w:t>Na szerokości każdego przejścia dla pieszych należy wbudować obniżone krawężniki najazdowe (15x22cm).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Akapitzlist"/>
        <w:ind w:left="0" w:right="0" w:hanging="0"/>
        <w:jc w:val="both"/>
        <w:rPr/>
      </w:pPr>
      <w:r>
        <w:rPr>
          <w:iCs/>
          <w:sz w:val="22"/>
          <w:szCs w:val="22"/>
        </w:rPr>
        <w:t>Szczegóły wg planu sytuacyjnego oraz rysunku konstrukcyjnego.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/>
      </w:pPr>
      <w:r>
        <w:rPr>
          <w:iCs/>
          <w:sz w:val="22"/>
          <w:szCs w:val="22"/>
        </w:rPr>
        <w:t>Nawierzchnie ostrzegawcze należy wykonać z kostek betonowych sygnalizacyjnych typu ,,STOP’’ (kostka betonowa z wypustkami, w kolorze kontrastowym – żółtym). Szerokość nawierzchni ostrzegawczej – wg szczegółów konstrukcyjnych.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0" w:name="__RefHeading___Toc75861325"/>
      <w:bookmarkEnd w:id="20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ROZWIĄZANIA ZASADNICZYCH ELEMENTÓW WYPOSAŻENIA BUDOWLANO-INSTALACYJNEGO.</w:t>
      </w:r>
    </w:p>
    <w:p>
      <w:pPr>
        <w:pStyle w:val="Normal"/>
        <w:ind w:left="426" w:right="0" w:hanging="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Planuje się wykonanie doświetlenia realizowanych (oraz istniejących) przejść dla pieszych.  Zostanie ono przperowadzone poprzez instalację dedykowanych do tego celu lamp typu LED, instalowanych obustronnie w strefach najazdowych.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Zastosowane doświetlenie będzie charakteryzować się natężeniem światła i temperaturą barwową odróżniającą się od istniejącego oświetlenia ulicznego (temperatura barwowa oświetlenia przejścia na poziomie ok. 5700K).</w:t>
      </w:r>
    </w:p>
    <w:p>
      <w:pPr>
        <w:pStyle w:val="Normal"/>
        <w:jc w:val="both"/>
        <w:rPr>
          <w:rFonts w:ascii="Times New Roman" w:hAnsi="Times New Roman" w:eastAsia="Times New Roman" w:cs="Times New Roman"/>
          <w:color w:val="auto"/>
          <w:kern w:val="2"/>
          <w:sz w:val="22"/>
          <w:szCs w:val="22"/>
          <w:lang w:val="pl-PL" w:eastAsia="zh-CN" w:bidi="ar-SA"/>
        </w:rPr>
      </w:pPr>
      <w:r>
        <w:rPr>
          <w:rFonts w:eastAsia="Times New Roman" w:cs="Times New Roman"/>
          <w:color w:val="auto"/>
          <w:kern w:val="2"/>
          <w:sz w:val="22"/>
          <w:szCs w:val="22"/>
          <w:lang w:val="pl-PL" w:eastAsia="zh-CN" w:bidi="ar-SA"/>
        </w:rPr>
        <w:t>Zaleca się instalację tzw. inteligentnego systemu aktywnego składającego się z detektorów ruchu, które po zmierzchu aktywują się doświetlając w pełni (do 100% mocy) przejście.</w:t>
      </w:r>
    </w:p>
    <w:p>
      <w:pPr>
        <w:pStyle w:val="Normal"/>
        <w:jc w:val="both"/>
        <w:rPr>
          <w:rFonts w:ascii="Times New Roman" w:hAnsi="Times New Roman" w:eastAsia="Times New Roman" w:cs="Times New Roman"/>
          <w:color w:val="auto"/>
          <w:kern w:val="2"/>
          <w:sz w:val="22"/>
          <w:szCs w:val="22"/>
          <w:lang w:val="pl-PL" w:eastAsia="zh-CN" w:bidi="ar-SA"/>
        </w:rPr>
      </w:pPr>
      <w:r>
        <w:rPr>
          <w:rFonts w:eastAsia="Times New Roman" w:cs="Times New Roman"/>
          <w:color w:val="auto"/>
          <w:kern w:val="2"/>
          <w:sz w:val="22"/>
          <w:szCs w:val="22"/>
          <w:lang w:val="pl-PL" w:eastAsia="zh-CN" w:bidi="ar-SA"/>
        </w:rPr>
        <w:t xml:space="preserve"> 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Pozostała istniejąca infrastruktura techniczna podziemna – bez zmian.</w:t>
      </w:r>
    </w:p>
    <w:p>
      <w:pPr>
        <w:pStyle w:val="Normal"/>
        <w:jc w:val="both"/>
        <w:rPr/>
      </w:pPr>
      <w:r>
        <w:rPr>
          <w:sz w:val="22"/>
          <w:szCs w:val="22"/>
        </w:rPr>
        <w:t>Odwodnienie nawierzchni –  be zmian, wg stanu istniejącego (kanalizacja deszczowa).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Wszystkie urządzenia zlokalizowane w nawierzchni chodnika lub jezdni tj.; studnie, zasuwy, wpusty każdorazowo podlegają regulacji wysokościowej do rzędnych docelowej warstwy ścieralnej (tj. projektowanego chodnika lub jezdni), jeśli będzie to konieczne dla zachowania wymaganej równości nawierzchni.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Instalacja niezbędnych znaków pionowych i poziomych zostanie wykonana na podstawie zatwierdzonego projektu stałej organizacji ruchu  stanowiącego odrębne opracowanie.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1" w:name="__RefHeading___Toc75861326"/>
      <w:bookmarkEnd w:id="21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ROZWIĄZANIA I SPOSÓB FUNKCJONOWANIA ZASADNICZYCH URZĄDZEŃ INSTALACJI TECHNICZNYCH.</w:t>
      </w:r>
    </w:p>
    <w:p>
      <w:pPr>
        <w:pStyle w:val="Normal"/>
        <w:jc w:val="both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Normal"/>
        <w:jc w:val="both"/>
        <w:rPr>
          <w:rFonts w:ascii="Times New Roman" w:hAnsi="Times New Roman" w:eastAsia="Times New Roman" w:cs="Times New Roman"/>
          <w:b w:val="false"/>
          <w:b w:val="false"/>
          <w:bCs w:val="false"/>
          <w:i w:val="false"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>Planowane doświetlenie przejść dla pieszych zostanie zasilone z sieci istniejącego oświetlenia drogowego.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Z uwagi na charakter inwestycji, poza w/w doświetleniem przejść nie przewiduje się budowy żadnych dodatkowych instalacji technicznych.</w:t>
      </w:r>
    </w:p>
    <w:p>
      <w:pPr>
        <w:pStyle w:val="Normal"/>
        <w:jc w:val="both"/>
        <w:rPr>
          <w:sz w:val="22"/>
          <w:szCs w:val="22"/>
          <w:highlight w:val="yellow"/>
        </w:rPr>
      </w:pPr>
      <w:r>
        <w:rPr>
          <w:sz w:val="22"/>
          <w:szCs w:val="22"/>
          <w:highlight w:val="yellow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2" w:name="__RefHeading___Toc75861327"/>
      <w:bookmarkEnd w:id="22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DANE TECHNICZNE OBIEKTU CHARAKTERYZUJĄCE JEGO WPŁYW NA ŚRODOWISKO, ZDROWIE LUDZI I OBIEKTY SĄSIEDNIE.</w:t>
      </w:r>
    </w:p>
    <w:p>
      <w:pPr>
        <w:pStyle w:val="Normal"/>
        <w:ind w:left="3540" w:right="0" w:hanging="354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Planowana inwestycja ma charakter nieuciążliwy i nie jest zaliczana do przedsięwzięć mogących znacząco oddziaływać na środowisko naturalne w rozumieniu Rozporządzenia Rady Ministrów z dnia 9.11.2010 w sprawie przedsięwzięć mogących znacząco oddziaływać na środowisko. </w:t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Dane techniczne charakteryzujące wpływ na środowisko, zdrowie ludzi oraz inne obiekty budowlane: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Odwodnienie modernizowanych nawierzchni będzie funkcjonować wg obecnego schematu tj. powierzchniowo. Bez ujemnego wpływu na środowisko gruntowo-wodne.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 xml:space="preserve">Eksploatacja obiektu nie będzie związana z wytwarzaniem odpadów czy emisją zanieczyszczeń gazowych. 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Projektowana inwestycja nie obejmuje obiektów, które mogłyby stanowić znaczące źródło hałasu, zatem nie spowoduje zmian w klimacie akustycznym otoczenia.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Dla projektowanej funkcji obiektu nie występuje związana z jego eksploatacją emisja wibracji czy promieniowania (w tym jonizującego)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Charakter obiektu budowlanego, jego lokalizacja oraz przeznaczenie nie wpływają na środowisko przyrodnicze (istniejący drzewostan, glebę, wody powierzchniowe/podziemne) czy zdrowie ludzi.</w:t>
      </w:r>
    </w:p>
    <w:p>
      <w:pPr>
        <w:pStyle w:val="Normal"/>
        <w:numPr>
          <w:ilvl w:val="0"/>
          <w:numId w:val="0"/>
        </w:numPr>
        <w:ind w:left="1440" w:right="0" w:hanging="0"/>
        <w:rPr>
          <w:color w:val="00B050"/>
          <w:sz w:val="22"/>
          <w:szCs w:val="22"/>
        </w:rPr>
      </w:pPr>
      <w:r>
        <w:rPr>
          <w:color w:val="00B050"/>
          <w:sz w:val="22"/>
          <w:szCs w:val="22"/>
        </w:rPr>
      </w:r>
    </w:p>
    <w:p>
      <w:pPr>
        <w:pStyle w:val="Normal"/>
        <w:ind w:left="709" w:right="0" w:hanging="0"/>
        <w:rPr>
          <w:color w:val="00B050"/>
          <w:sz w:val="22"/>
          <w:szCs w:val="22"/>
        </w:rPr>
      </w:pPr>
      <w:r>
        <w:rPr>
          <w:color w:val="00B050"/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3" w:name="__RefHeading___Toc75861328"/>
      <w:bookmarkEnd w:id="23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WARUNKI OCHRONY PRZECIWPOŻAROWEJ.</w:t>
      </w:r>
    </w:p>
    <w:p>
      <w:pPr>
        <w:pStyle w:val="Normal"/>
        <w:ind w:left="426" w:right="0" w:hanging="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Warunki ochrony przeciwpożarowej obiektów sąsiadujących z modernizowaną ulicą pozostają bez zmian w stosunku do stanu istniejącego. </w:t>
      </w:r>
    </w:p>
    <w:p>
      <w:pPr>
        <w:pStyle w:val="Normal"/>
        <w:ind w:left="426" w:right="0" w:hanging="0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keepNext w:val="true"/>
        <w:widowControl/>
        <w:numPr>
          <w:ilvl w:val="1"/>
          <w:numId w:val="3"/>
        </w:numPr>
        <w:suppressAutoHyphens w:val="true"/>
        <w:bidi w:val="0"/>
        <w:spacing w:before="240" w:after="60"/>
        <w:jc w:val="left"/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4" w:name="__RefHeading___Toc421_2367410010"/>
      <w:bookmarkEnd w:id="24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UWAGI OGÓLNE.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  <w:bookmarkStart w:id="25" w:name="_Hlk41731282"/>
      <w:bookmarkStart w:id="26" w:name="_Hlk41731282"/>
      <w:bookmarkEnd w:id="26"/>
    </w:p>
    <w:p>
      <w:pPr>
        <w:pStyle w:val="Normal"/>
        <w:spacing w:lineRule="auto" w:line="276"/>
        <w:ind w:left="0" w:right="0" w:hanging="0"/>
        <w:jc w:val="both"/>
        <w:rPr/>
      </w:pPr>
      <w:r>
        <w:rPr>
          <w:b w:val="false"/>
          <w:bCs w:val="false"/>
          <w:i w:val="false"/>
          <w:iCs w:val="false"/>
          <w:sz w:val="22"/>
          <w:szCs w:val="22"/>
        </w:rPr>
        <w:t xml:space="preserve">Każdorazowo w przypadku konieczności prowadzenia jakichkolwiek robót ziemnych (np. wykopy pod  urządzenia infrastruktury podziemnej) </w:t>
      </w:r>
      <w:r>
        <w:rPr>
          <w:b w:val="false"/>
          <w:bCs w:val="false"/>
          <w:sz w:val="22"/>
          <w:szCs w:val="22"/>
        </w:rPr>
        <w:t xml:space="preserve">wymagane są uprzednie przekopy kontrolne, sprawdzające głębokość ułożenia poszczególnych sieci - należy potwierdzać lokalizację infrastruktury podziemnej uwidocznionej na mapie. Każdorazowo roboty budowlane w miejscu przebiegu istniejącego uzbrojenia należy prowadzić ręcznie bez użycia sprzętu mechanicznego. </w:t>
      </w:r>
    </w:p>
    <w:p>
      <w:pPr>
        <w:pStyle w:val="Normal"/>
        <w:spacing w:lineRule="auto" w:line="276"/>
        <w:ind w:left="0" w:right="0" w:hanging="0"/>
        <w:jc w:val="both"/>
        <w:rPr/>
      </w:pPr>
      <w:r>
        <w:rPr/>
      </w:r>
    </w:p>
    <w:p>
      <w:pPr>
        <w:pStyle w:val="Normal"/>
        <w:spacing w:lineRule="auto" w:line="276"/>
        <w:ind w:left="0" w:right="0" w:hanging="0"/>
        <w:jc w:val="both"/>
        <w:rPr/>
      </w:pPr>
      <w:r>
        <w:rPr>
          <w:b w:val="false"/>
          <w:bCs w:val="false"/>
          <w:iCs/>
          <w:sz w:val="22"/>
          <w:szCs w:val="22"/>
        </w:rPr>
        <w:t>Wszystkie roboty budowlane w obrębie infrastruktury podziemnej nale</w:t>
      </w:r>
      <w:r>
        <w:rPr>
          <w:iCs/>
          <w:sz w:val="22"/>
          <w:szCs w:val="22"/>
        </w:rPr>
        <w:t xml:space="preserve">ży prowadzić z zachowaniem należytej ostrożności - dotyczy w szczególności elektroenergetycznych linii kablowych oraz sieci gazowych. </w:t>
      </w:r>
    </w:p>
    <w:p>
      <w:pPr>
        <w:pStyle w:val="Normal"/>
        <w:spacing w:lineRule="auto" w:line="276"/>
        <w:ind w:left="0" w:right="0" w:hanging="0"/>
        <w:jc w:val="both"/>
        <w:rPr/>
      </w:pPr>
      <w:r>
        <w:rPr/>
      </w:r>
    </w:p>
    <w:p>
      <w:pPr>
        <w:pStyle w:val="Normal"/>
        <w:spacing w:lineRule="auto" w:line="276"/>
        <w:ind w:left="0" w:right="0" w:hanging="0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 xml:space="preserve">Wszystkie roboty ziemne w rejonie istniejącego uzbrojenia prowadzić po uprzednim powiadomieniu i pod nadzorem właściciela danej sieci. </w:t>
      </w:r>
    </w:p>
    <w:p>
      <w:pPr>
        <w:pStyle w:val="Normal"/>
        <w:spacing w:lineRule="auto" w:line="276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spacing w:lineRule="auto" w:line="276"/>
        <w:jc w:val="both"/>
        <w:rPr/>
      </w:pPr>
      <w:r>
        <w:rPr>
          <w:sz w:val="22"/>
          <w:szCs w:val="22"/>
        </w:rPr>
        <w:t xml:space="preserve">W przypadku stwierdzenia sieci na głębokościach nienormatywnych  należy wstrzymać roboty budowlane związane z budową konstrukcji nawierzchni i bezzwłocznie powiadomić o tym fakcie właściciela sieci </w:t>
        <w:br/>
        <w:t xml:space="preserve">(w porozumieniu z gestorem i projektantem należy wówczas ustalić sposób należytego zabezpieczenia bądź likwidacji kolizji). </w:t>
      </w:r>
      <w:r>
        <w:rPr>
          <w:iCs/>
          <w:sz w:val="22"/>
          <w:szCs w:val="22"/>
        </w:rPr>
        <w:t>W przypadku napotkania jakichkolwiek dodatkowych, niezinwentaryzowanych przewodów podziemnych należy ten fakt zgłosić do odpowiedniego gestora / użytkownika sieci.</w:t>
      </w:r>
    </w:p>
    <w:p>
      <w:pPr>
        <w:pStyle w:val="Normal"/>
        <w:spacing w:lineRule="auto" w:line="276"/>
        <w:jc w:val="both"/>
        <w:rPr/>
      </w:pPr>
      <w:r>
        <w:rPr/>
      </w:r>
    </w:p>
    <w:p>
      <w:pPr>
        <w:pStyle w:val="Normal"/>
        <w:spacing w:lineRule="auto" w:line="276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 xml:space="preserve">Poszczególne roboty należy realizować przy zachowaniu zasad określonych we właściwych Specyfikacjach Wykonania i Odbioru Robót Budowlanych. Wszystkie prace należy realizować zgodnie ze sztuką budowlaną, pod nadzorem osoby posiadającej stosowne uprawnienia do kierowania robotami budowlanymi w branży inżynieryjnej drogowej. </w:t>
      </w:r>
    </w:p>
    <w:p>
      <w:pPr>
        <w:pStyle w:val="Normal"/>
        <w:spacing w:lineRule="auto" w:line="276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</w:t>
      </w:r>
    </w:p>
    <w:p>
      <w:pPr>
        <w:pStyle w:val="Normal"/>
        <w:spacing w:lineRule="auto" w:line="276"/>
        <w:jc w:val="both"/>
        <w:rPr>
          <w:sz w:val="22"/>
          <w:szCs w:val="22"/>
        </w:rPr>
      </w:pPr>
      <w:r>
        <w:rPr>
          <w:sz w:val="22"/>
          <w:szCs w:val="22"/>
        </w:rPr>
        <w:t>W czasie budowy przestrzegać przepisów BHP w zakresie transportu, składowania materiałów, zabezpieczenia wykopów, oznakowania miejsc niebezpiecznych.</w:t>
      </w:r>
    </w:p>
    <w:p>
      <w:pPr>
        <w:pStyle w:val="Normal"/>
        <w:spacing w:lineRule="auto" w:line="276"/>
        <w:jc w:val="both"/>
        <w:rPr>
          <w:iCs/>
          <w:sz w:val="22"/>
          <w:szCs w:val="22"/>
        </w:rPr>
      </w:pPr>
      <w:bookmarkStart w:id="27" w:name="_Hlk417312821"/>
      <w:r>
        <w:rPr>
          <w:iCs/>
          <w:sz w:val="22"/>
          <w:szCs w:val="22"/>
        </w:rPr>
        <w:t>Ewentualne wykopy miejscowe należy odpowiednio oznakować i zabezpieczyć przed osobami postronnymi.</w:t>
      </w:r>
      <w:bookmarkEnd w:id="27"/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  <w:bookmarkStart w:id="28" w:name="_Hlk417312822"/>
      <w:bookmarkStart w:id="29" w:name="_Hlk417312822"/>
      <w:bookmarkEnd w:id="29"/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30" w:name="__RefHeading___Toc75861330"/>
      <w:bookmarkEnd w:id="30"/>
      <w:r>
        <w:rPr>
          <w:rStyle w:val="Mocnowyrniony"/>
          <w:rFonts w:cs="Times New Roman" w:ascii="Times New Roman" w:hAnsi="Times New Roman"/>
          <w:sz w:val="24"/>
          <w:szCs w:val="24"/>
        </w:rPr>
        <w:t>CZĘŚĆ RYSUNKOWA</w:t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ind w:left="3577" w:right="0" w:hanging="0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agwek2"/>
        <w:numPr>
          <w:ilvl w:val="1"/>
          <w:numId w:val="2"/>
        </w:numPr>
        <w:rPr>
          <w:rFonts w:ascii="Times New Roman" w:hAnsi="Times New Roman"/>
          <w:b w:val="false"/>
          <w:b w:val="false"/>
          <w:bCs w:val="false"/>
          <w:i w:val="false"/>
          <w:i w:val="false"/>
          <w:iCs w:val="false"/>
          <w:sz w:val="24"/>
          <w:szCs w:val="24"/>
        </w:rPr>
      </w:pPr>
      <w:bookmarkStart w:id="31" w:name="__RefHeading___Toc3224_1339427135"/>
      <w:bookmarkEnd w:id="31"/>
      <w:r>
        <w:rPr>
          <w:rFonts w:ascii="Times New Roman" w:hAnsi="Times New Roman"/>
          <w:b w:val="false"/>
          <w:bCs w:val="false"/>
          <w:i w:val="false"/>
          <w:iCs w:val="false"/>
          <w:sz w:val="24"/>
          <w:szCs w:val="24"/>
        </w:rPr>
        <w:t>Szczegóły konstrukcyjne  (rys. nr 3).</w:t>
      </w:r>
    </w:p>
    <w:p>
      <w:pPr>
        <w:pStyle w:val="Normal"/>
        <w:ind w:left="3577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ind w:left="3577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ind w:left="3577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/>
      </w:pPr>
      <w:r>
        <w:rPr/>
      </w:r>
    </w:p>
    <w:sectPr>
      <w:headerReference w:type="default" r:id="rId5"/>
      <w:footerReference w:type="default" r:id="rId6"/>
      <w:type w:val="nextPage"/>
      <w:pgSz w:w="11906" w:h="16838"/>
      <w:pgMar w:left="1417" w:right="1006" w:header="426" w:top="1417" w:footer="708" w:bottom="1560" w:gutter="0"/>
      <w:pgNumType w:start="1"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Times New Roman">
    <w:charset w:val="ee"/>
    <w:family w:val="roman"/>
    <w:pitch w:val="variable"/>
  </w:font>
  <w:font w:name="Calibri Light">
    <w:charset w:val="ee"/>
    <w:family w:val="roman"/>
    <w:pitch w:val="variable"/>
  </w:font>
  <w:font w:name="Calibri">
    <w:charset w:val="ee"/>
    <w:family w:val="roman"/>
    <w:pitch w:val="variable"/>
  </w:font>
  <w:font w:name="Liberation Serif">
    <w:altName w:val="Times New Roman"/>
    <w:charset w:val="ee"/>
    <w:family w:val="swiss"/>
    <w:pitch w:val="variable"/>
  </w:font>
  <w:font w:name="Wingdings">
    <w:charset w:val="ee"/>
    <w:family w:val="roman"/>
    <w:pitch w:val="variable"/>
  </w:font>
  <w:font w:name="Courier New">
    <w:charset w:val="ee"/>
    <w:family w:val="roman"/>
    <w:pitch w:val="variable"/>
  </w:font>
  <w:font w:name="Symbol">
    <w:charset w:val="ee"/>
    <w:family w:val="roman"/>
    <w:pitch w:val="variable"/>
  </w:font>
  <w:font w:name="Arial">
    <w:charset w:val="ee"/>
    <w:family w:val="roman"/>
    <w:pitch w:val="variable"/>
  </w:font>
  <w:font w:name="Tahoma">
    <w:charset w:val="ee"/>
    <w:family w:val="roman"/>
    <w:pitch w:val="variable"/>
  </w:font>
  <w:font w:name="Liberation Mono">
    <w:altName w:val="Courier New"/>
    <w:charset w:val="ee"/>
    <w:family w:val="roman"/>
    <w:pitch w:val="variable"/>
  </w:font>
  <w:font w:name="Liberation Sans">
    <w:altName w:val="Arial"/>
    <w:charset w:val="ee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opka"/>
      <w:jc w:val="right"/>
      <w:rPr/>
    </w:pPr>
    <w:r>
      <w:rPr/>
      <w:fldChar w:fldCharType="begin"/>
    </w:r>
    <w:r>
      <w:rPr/>
      <w:instrText> PAGE </w:instrText>
    </w:r>
    <w:r>
      <w:rPr/>
      <w:fldChar w:fldCharType="separate"/>
    </w:r>
    <w:r>
      <w:rPr/>
      <w:t>18</w:t>
    </w:r>
    <w:r>
      <w:rPr/>
      <w:fldChar w:fldCharType="end"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Gwka"/>
      <w:rPr/>
    </w:pPr>
    <w:r>
      <w:rPr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pStyle w:val="Nagwek1"/>
      <w:numFmt w:val="decimal"/>
      <w:suff w:val="nothing"/>
      <w:lvlText w:val="%1."/>
      <w:lvlJc w:val="left"/>
      <w:pPr>
        <w:ind w:left="0" w:hanging="0"/>
      </w:pPr>
    </w:lvl>
    <w:lvl w:ilvl="1">
      <w:start w:val="1"/>
      <w:pStyle w:val="Nagwek2"/>
      <w:numFmt w:val="decimal"/>
      <w:lvlText w:val="%2."/>
      <w:lvlJc w:val="left"/>
      <w:pPr>
        <w:ind w:left="0" w:hanging="0"/>
      </w:pPr>
    </w:lvl>
    <w:lvl w:ilvl="2">
      <w:start w:val="1"/>
      <w:pStyle w:val="Nagwek3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pStyle w:val="Nagwek5"/>
      <w:numFmt w:val="none"/>
      <w:suff w:val="nothing"/>
      <w:lvlText w:val=""/>
      <w:lvlJc w:val="left"/>
      <w:pPr>
        <w:ind w:left="0" w:hanging="0"/>
      </w:pPr>
    </w:lvl>
    <w:lvl w:ilvl="5">
      <w:start w:val="1"/>
      <w:pStyle w:val="Nagwek6"/>
      <w:numFmt w:val="none"/>
      <w:suff w:val="nothing"/>
      <w:lvlText w:val=""/>
      <w:lvlJc w:val="left"/>
      <w:pPr>
        <w:ind w:left="0" w:hanging="0"/>
      </w:pPr>
    </w:lvl>
    <w:lvl w:ilvl="6">
      <w:start w:val="1"/>
      <w:pStyle w:val="Nagwek7"/>
      <w:numFmt w:val="none"/>
      <w:suff w:val="nothing"/>
      <w:lvlText w:val=""/>
      <w:lvlJc w:val="left"/>
      <w:pPr>
        <w:ind w:left="0" w:hanging="0"/>
      </w:pPr>
    </w:lvl>
    <w:lvl w:ilvl="7">
      <w:start w:val="1"/>
      <w:pStyle w:val="Nagwek8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2">
    <w:lvl w:ilvl="0">
      <w:start w:val="1"/>
      <w:numFmt w:val="decimal"/>
      <w:suff w:val="nothing"/>
      <w:lvlText w:val="%1."/>
      <w:lvlJc w:val="left"/>
      <w:pPr>
        <w:ind w:left="0" w:hanging="0"/>
      </w:pPr>
    </w:lvl>
    <w:lvl w:ilvl="1">
      <w:start w:val="1"/>
      <w:numFmt w:val="decimal"/>
      <w:lvlText w:val="%2.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3">
    <w:lvl w:ilvl="0">
      <w:start w:val="1"/>
      <w:numFmt w:val="decimal"/>
      <w:suff w:val="nothing"/>
      <w:lvlText w:val="%1."/>
      <w:lvlJc w:val="left"/>
      <w:pPr>
        <w:ind w:left="0" w:hanging="0"/>
      </w:pPr>
    </w:lvl>
    <w:lvl w:ilvl="1">
      <w:start w:val="1"/>
      <w:numFmt w:val="decimal"/>
      <w:lvlText w:val="%2.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4">
    <w:lvl w:ilvl="0">
      <w:start w:val="1"/>
      <w:numFmt w:val="decimal"/>
      <w:suff w:val="nothing"/>
      <w:lvlText w:val="%1."/>
      <w:lvlJc w:val="left"/>
      <w:pPr>
        <w:ind w:left="0" w:hanging="0"/>
      </w:pPr>
    </w:lvl>
    <w:lvl w:ilvl="1">
      <w:start w:val="1"/>
      <w:numFmt w:val="decimal"/>
      <w:lvlText w:val="%2.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5">
    <w:lvl w:ilvl="0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  <w:sz w:val="22"/>
        <w:b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>
    <w:lvl w:ilvl="0">
      <w:start w:val="1"/>
      <w:numFmt w:val="bullet"/>
      <w:lvlText w:val=""/>
      <w:lvlJc w:val="left"/>
      <w:pPr>
        <w:tabs>
          <w:tab w:val="num" w:pos="1433"/>
        </w:tabs>
        <w:ind w:left="1433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>
    <w:lvl w:ilvl="0">
      <w:start w:val="1"/>
      <w:numFmt w:val="bullet"/>
      <w:lvlText w:val=""/>
      <w:lvlJc w:val="left"/>
      <w:pPr>
        <w:tabs>
          <w:tab w:val="num" w:pos="1433"/>
        </w:tabs>
        <w:ind w:left="1433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>
    <w:lvl w:ilvl="0">
      <w:start w:val="1"/>
      <w:numFmt w:val="bullet"/>
      <w:lvlText w:val=""/>
      <w:lvlJc w:val="left"/>
      <w:pPr>
        <w:tabs>
          <w:tab w:val="num" w:pos="1433"/>
        </w:tabs>
        <w:ind w:left="1433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>
    <w:lvl w:ilvl="0">
      <w:start w:val="1"/>
      <w:numFmt w:val="bullet"/>
      <w:lvlText w:val=""/>
      <w:lvlJc w:val="left"/>
      <w:pPr>
        <w:ind w:left="862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</w:numbering>
</file>

<file path=word/settings.xml><?xml version="1.0" encoding="utf-8"?>
<w:settings xmlns:w="http://schemas.openxmlformats.org/wordprocessingml/2006/main">
  <w:zoom w:percent="65"/>
  <w:defaultTabStop w:val="709"/>
  <w:autoHyphenation w:val="false"/>
  <w:compat/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Arial"/>
        <w:sz w:val="24"/>
        <w:szCs w:val="24"/>
        <w:lang w:val="pl-PL" w:eastAsia="zh-CN" w:bidi="hi-IN"/>
      </w:rPr>
    </w:rPrDefault>
    <w:pPrDefault>
      <w:pPr/>
    </w:pPrDefault>
  </w:docDefaults>
  <w:style w:type="paragraph" w:styleId="Normal">
    <w:name w:val="Normal"/>
    <w:qFormat/>
    <w:pPr>
      <w:widowControl/>
      <w:suppressAutoHyphens w:val="true"/>
      <w:bidi w:val="0"/>
      <w:jc w:val="left"/>
    </w:pPr>
    <w:rPr>
      <w:rFonts w:ascii="Times New Roman" w:hAnsi="Times New Roman" w:eastAsia="Times New Roman" w:cs="Times New Roman"/>
      <w:color w:val="auto"/>
      <w:kern w:val="2"/>
      <w:sz w:val="20"/>
      <w:szCs w:val="20"/>
      <w:lang w:val="pl-PL" w:eastAsia="zh-CN" w:bidi="ar-SA"/>
    </w:rPr>
  </w:style>
  <w:style w:type="paragraph" w:styleId="Nagwek1">
    <w:name w:val="Heading 1"/>
    <w:basedOn w:val="Normal"/>
    <w:next w:val="Normal"/>
    <w:qFormat/>
    <w:pPr>
      <w:keepNext w:val="true"/>
      <w:numPr>
        <w:ilvl w:val="0"/>
        <w:numId w:val="1"/>
      </w:numPr>
      <w:spacing w:before="240" w:after="60"/>
      <w:outlineLvl w:val="0"/>
    </w:pPr>
    <w:rPr>
      <w:rFonts w:ascii="Calibri Light" w:hAnsi="Calibri Light" w:eastAsia="Times New Roman" w:cs="Times New Roman"/>
      <w:b/>
      <w:bCs/>
      <w:kern w:val="2"/>
      <w:sz w:val="32"/>
      <w:szCs w:val="32"/>
    </w:rPr>
  </w:style>
  <w:style w:type="paragraph" w:styleId="Nagwek2">
    <w:name w:val="Heading 2"/>
    <w:basedOn w:val="Normal"/>
    <w:next w:val="Normal"/>
    <w:qFormat/>
    <w:pPr>
      <w:keepNext w:val="true"/>
      <w:numPr>
        <w:ilvl w:val="1"/>
        <w:numId w:val="1"/>
      </w:numPr>
      <w:spacing w:before="240" w:after="60"/>
      <w:outlineLvl w:val="1"/>
    </w:pPr>
    <w:rPr>
      <w:rFonts w:ascii="Calibri Light" w:hAnsi="Calibri Light" w:eastAsia="Times New Roman" w:cs="Times New Roman"/>
      <w:b/>
      <w:bCs/>
      <w:i/>
      <w:iCs/>
      <w:sz w:val="28"/>
      <w:szCs w:val="28"/>
    </w:rPr>
  </w:style>
  <w:style w:type="paragraph" w:styleId="Nagwek3">
    <w:name w:val="Heading 3"/>
    <w:basedOn w:val="Nagwek"/>
    <w:next w:val="Tretekstu"/>
    <w:qFormat/>
    <w:pPr>
      <w:numPr>
        <w:ilvl w:val="2"/>
        <w:numId w:val="1"/>
      </w:numPr>
      <w:spacing w:before="140" w:after="120"/>
      <w:outlineLvl w:val="2"/>
    </w:pPr>
    <w:rPr>
      <w:b/>
      <w:bCs/>
      <w:sz w:val="28"/>
      <w:szCs w:val="28"/>
    </w:rPr>
  </w:style>
  <w:style w:type="paragraph" w:styleId="Nagwek5">
    <w:name w:val="Heading 5"/>
    <w:basedOn w:val="Normal"/>
    <w:next w:val="Normal"/>
    <w:qFormat/>
    <w:pPr>
      <w:numPr>
        <w:ilvl w:val="4"/>
        <w:numId w:val="1"/>
      </w:numPr>
      <w:spacing w:before="240" w:after="60"/>
      <w:ind w:left="417" w:right="0" w:hanging="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"/>
    <w:next w:val="Normal"/>
    <w:qFormat/>
    <w:pPr>
      <w:numPr>
        <w:ilvl w:val="5"/>
        <w:numId w:val="1"/>
      </w:numPr>
      <w:spacing w:before="240" w:after="60"/>
      <w:outlineLvl w:val="5"/>
    </w:pPr>
    <w:rPr>
      <w:rFonts w:ascii="Calibri" w:hAnsi="Calibri" w:eastAsia="Times New Roman" w:cs="Times New Roman"/>
      <w:b/>
      <w:bCs/>
      <w:sz w:val="22"/>
      <w:szCs w:val="22"/>
    </w:rPr>
  </w:style>
  <w:style w:type="paragraph" w:styleId="Nagwek7">
    <w:name w:val="Heading 7"/>
    <w:basedOn w:val="Nagwek"/>
    <w:next w:val="Tretekstu"/>
    <w:qFormat/>
    <w:pPr>
      <w:widowControl w:val="false"/>
      <w:numPr>
        <w:ilvl w:val="6"/>
        <w:numId w:val="1"/>
      </w:numPr>
      <w:bidi w:val="0"/>
      <w:spacing w:before="60" w:after="60"/>
      <w:jc w:val="left"/>
      <w:outlineLvl w:val="6"/>
    </w:pPr>
    <w:rPr>
      <w:rFonts w:ascii="Liberation Serif" w:hAnsi="Liberation Serif" w:eastAsia="NSimSun" w:cs="Arial"/>
      <w:b/>
      <w:bCs/>
      <w:color w:val="auto"/>
      <w:kern w:val="0"/>
      <w:sz w:val="22"/>
      <w:szCs w:val="22"/>
      <w:lang w:val="pl-PL" w:eastAsia="zh-CN" w:bidi="hi-IN"/>
    </w:rPr>
  </w:style>
  <w:style w:type="paragraph" w:styleId="Nagwek8">
    <w:name w:val="Heading 8"/>
    <w:basedOn w:val="Nagwek"/>
    <w:next w:val="Tretekstu"/>
    <w:qFormat/>
    <w:pPr>
      <w:widowControl w:val="false"/>
      <w:numPr>
        <w:ilvl w:val="7"/>
        <w:numId w:val="1"/>
      </w:numPr>
      <w:bidi w:val="0"/>
      <w:spacing w:before="60" w:after="60"/>
      <w:jc w:val="left"/>
      <w:outlineLvl w:val="7"/>
    </w:pPr>
    <w:rPr>
      <w:rFonts w:ascii="Liberation Serif" w:hAnsi="Liberation Serif" w:eastAsia="NSimSun" w:cs="Arial"/>
      <w:b/>
      <w:bCs/>
      <w:i/>
      <w:iCs/>
      <w:color w:val="auto"/>
      <w:kern w:val="0"/>
      <w:sz w:val="22"/>
      <w:szCs w:val="22"/>
      <w:lang w:val="pl-PL" w:eastAsia="zh-CN" w:bidi="hi-IN"/>
    </w:rPr>
  </w:style>
  <w:style w:type="character" w:styleId="WW8Num1z0">
    <w:name w:val="WW8Num1z0"/>
    <w:qFormat/>
    <w:rPr/>
  </w:style>
  <w:style w:type="character" w:styleId="WW8Num1z1">
    <w:name w:val="WW8Num1z1"/>
    <w:qFormat/>
    <w:rPr/>
  </w:style>
  <w:style w:type="character" w:styleId="WW8Num1z2">
    <w:name w:val="WW8Num1z2"/>
    <w:qFormat/>
    <w:rPr/>
  </w:style>
  <w:style w:type="character" w:styleId="WW8Num1z3">
    <w:name w:val="WW8Num1z3"/>
    <w:qFormat/>
    <w:rPr/>
  </w:style>
  <w:style w:type="character" w:styleId="WW8Num1z4">
    <w:name w:val="WW8Num1z4"/>
    <w:qFormat/>
    <w:rPr/>
  </w:style>
  <w:style w:type="character" w:styleId="WW8Num1z5">
    <w:name w:val="WW8Num1z5"/>
    <w:qFormat/>
    <w:rPr/>
  </w:style>
  <w:style w:type="character" w:styleId="WW8Num1z6">
    <w:name w:val="WW8Num1z6"/>
    <w:qFormat/>
    <w:rPr/>
  </w:style>
  <w:style w:type="character" w:styleId="WW8Num1z7">
    <w:name w:val="WW8Num1z7"/>
    <w:qFormat/>
    <w:rPr/>
  </w:style>
  <w:style w:type="character" w:styleId="WW8Num1z8">
    <w:name w:val="WW8Num1z8"/>
    <w:qFormat/>
    <w:rPr/>
  </w:style>
  <w:style w:type="character" w:styleId="WW8Num2z0">
    <w:name w:val="WW8Num2z0"/>
    <w:qFormat/>
    <w:rPr>
      <w:sz w:val="24"/>
      <w:szCs w:val="24"/>
    </w:rPr>
  </w:style>
  <w:style w:type="character" w:styleId="WW8Num3z0">
    <w:name w:val="WW8Num3z0"/>
    <w:qFormat/>
    <w:rPr>
      <w:rFonts w:ascii="Wingdings" w:hAnsi="Wingdings" w:cs="Wingdings"/>
    </w:rPr>
  </w:style>
  <w:style w:type="character" w:styleId="WW8Num3z1">
    <w:name w:val="WW8Num3z1"/>
    <w:qFormat/>
    <w:rPr>
      <w:rFonts w:ascii="Courier New" w:hAnsi="Courier New" w:cs="Courier New"/>
    </w:rPr>
  </w:style>
  <w:style w:type="character" w:styleId="WW8Num3z3">
    <w:name w:val="WW8Num3z3"/>
    <w:qFormat/>
    <w:rPr>
      <w:rFonts w:ascii="Symbol" w:hAnsi="Symbol" w:cs="Symbol"/>
    </w:rPr>
  </w:style>
  <w:style w:type="character" w:styleId="WW8Num4z0">
    <w:name w:val="WW8Num4z0"/>
    <w:qFormat/>
    <w:rPr/>
  </w:style>
  <w:style w:type="character" w:styleId="WW8Num5z0">
    <w:name w:val="WW8Num5z0"/>
    <w:qFormat/>
    <w:rPr/>
  </w:style>
  <w:style w:type="character" w:styleId="WW8Num6z0">
    <w:name w:val="WW8Num6z0"/>
    <w:qFormat/>
    <w:rPr>
      <w:rFonts w:ascii="Arial" w:hAnsi="Arial" w:cs="Arial"/>
      <w:b/>
      <w:i w:val="false"/>
      <w:sz w:val="24"/>
      <w:u w:val="none"/>
    </w:rPr>
  </w:style>
  <w:style w:type="character" w:styleId="WW8Num7z0">
    <w:name w:val="WW8Num7z0"/>
    <w:qFormat/>
    <w:rPr>
      <w:rFonts w:ascii="Symbol" w:hAnsi="Symbol" w:cs="Symbol"/>
      <w:sz w:val="24"/>
      <w:szCs w:val="24"/>
    </w:rPr>
  </w:style>
  <w:style w:type="character" w:styleId="WW8Num8z0">
    <w:name w:val="WW8Num8z0"/>
    <w:qFormat/>
    <w:rPr>
      <w:rFonts w:ascii="Symbol" w:hAnsi="Symbol" w:cs="Symbol"/>
      <w:sz w:val="24"/>
      <w:szCs w:val="24"/>
    </w:rPr>
  </w:style>
  <w:style w:type="character" w:styleId="WW8Num9z0">
    <w:name w:val="WW8Num9z0"/>
    <w:qFormat/>
    <w:rPr/>
  </w:style>
  <w:style w:type="character" w:styleId="WW8Num10z0">
    <w:name w:val="WW8Num10z0"/>
    <w:qFormat/>
    <w:rPr>
      <w:rFonts w:ascii="Times New Roman" w:hAnsi="Times New Roman" w:cs="Times New Roman"/>
      <w:b/>
      <w:sz w:val="28"/>
      <w:szCs w:val="24"/>
    </w:rPr>
  </w:style>
  <w:style w:type="character" w:styleId="WW8Num10z1">
    <w:name w:val="WW8Num10z1"/>
    <w:qFormat/>
    <w:rPr>
      <w:rFonts w:ascii="Times New Roman" w:hAnsi="Times New Roman" w:cs="Times New Roman"/>
      <w:b/>
      <w:bCs w:val="false"/>
      <w:sz w:val="28"/>
      <w:szCs w:val="24"/>
    </w:rPr>
  </w:style>
  <w:style w:type="character" w:styleId="WW8Num10z2">
    <w:name w:val="WW8Num10z2"/>
    <w:qFormat/>
    <w:rPr/>
  </w:style>
  <w:style w:type="character" w:styleId="WW8Num10z3">
    <w:name w:val="WW8Num10z3"/>
    <w:qFormat/>
    <w:rPr/>
  </w:style>
  <w:style w:type="character" w:styleId="WW8Num10z4">
    <w:name w:val="WW8Num10z4"/>
    <w:qFormat/>
    <w:rPr/>
  </w:style>
  <w:style w:type="character" w:styleId="WW8Num10z5">
    <w:name w:val="WW8Num10z5"/>
    <w:qFormat/>
    <w:rPr/>
  </w:style>
  <w:style w:type="character" w:styleId="WW8Num10z6">
    <w:name w:val="WW8Num10z6"/>
    <w:qFormat/>
    <w:rPr/>
  </w:style>
  <w:style w:type="character" w:styleId="WW8Num10z7">
    <w:name w:val="WW8Num10z7"/>
    <w:qFormat/>
    <w:rPr/>
  </w:style>
  <w:style w:type="character" w:styleId="WW8Num10z8">
    <w:name w:val="WW8Num10z8"/>
    <w:qFormat/>
    <w:rPr/>
  </w:style>
  <w:style w:type="character" w:styleId="WW8Num11z0">
    <w:name w:val="WW8Num11z0"/>
    <w:qFormat/>
    <w:rPr>
      <w:rFonts w:ascii="Symbol" w:hAnsi="Symbol" w:cs="Symbol"/>
      <w:sz w:val="24"/>
      <w:szCs w:val="24"/>
    </w:rPr>
  </w:style>
  <w:style w:type="character" w:styleId="WW8Num12z0">
    <w:name w:val="WW8Num12z0"/>
    <w:qFormat/>
    <w:rPr>
      <w:rFonts w:ascii="Symbol" w:hAnsi="Symbol" w:cs="Symbol"/>
      <w:sz w:val="24"/>
      <w:szCs w:val="24"/>
    </w:rPr>
  </w:style>
  <w:style w:type="character" w:styleId="WW8Num13z0">
    <w:name w:val="WW8Num13z0"/>
    <w:qFormat/>
    <w:rPr>
      <w:rFonts w:ascii="Symbol" w:hAnsi="Symbol" w:cs="Symbol"/>
      <w:sz w:val="24"/>
      <w:szCs w:val="24"/>
    </w:rPr>
  </w:style>
  <w:style w:type="character" w:styleId="WW8Num14z0">
    <w:name w:val="WW8Num14z0"/>
    <w:qFormat/>
    <w:rPr>
      <w:rFonts w:ascii="Symbol" w:hAnsi="Symbol" w:cs="Symbol"/>
      <w:sz w:val="24"/>
      <w:szCs w:val="24"/>
    </w:rPr>
  </w:style>
  <w:style w:type="character" w:styleId="WW8Num11z1">
    <w:name w:val="WW8Num11z1"/>
    <w:qFormat/>
    <w:rPr>
      <w:rFonts w:ascii="Times New Roman" w:hAnsi="Times New Roman" w:cs="Times New Roman"/>
      <w:b/>
      <w:bCs w:val="false"/>
      <w:sz w:val="28"/>
      <w:szCs w:val="24"/>
    </w:rPr>
  </w:style>
  <w:style w:type="character" w:styleId="WW8Num11z2">
    <w:name w:val="WW8Num11z2"/>
    <w:qFormat/>
    <w:rPr/>
  </w:style>
  <w:style w:type="character" w:styleId="WW8Num11z3">
    <w:name w:val="WW8Num11z3"/>
    <w:qFormat/>
    <w:rPr/>
  </w:style>
  <w:style w:type="character" w:styleId="WW8Num11z4">
    <w:name w:val="WW8Num11z4"/>
    <w:qFormat/>
    <w:rPr/>
  </w:style>
  <w:style w:type="character" w:styleId="WW8Num11z5">
    <w:name w:val="WW8Num11z5"/>
    <w:qFormat/>
    <w:rPr/>
  </w:style>
  <w:style w:type="character" w:styleId="WW8Num11z6">
    <w:name w:val="WW8Num11z6"/>
    <w:qFormat/>
    <w:rPr/>
  </w:style>
  <w:style w:type="character" w:styleId="WW8Num11z7">
    <w:name w:val="WW8Num11z7"/>
    <w:qFormat/>
    <w:rPr/>
  </w:style>
  <w:style w:type="character" w:styleId="WW8Num11z8">
    <w:name w:val="WW8Num11z8"/>
    <w:qFormat/>
    <w:rPr/>
  </w:style>
  <w:style w:type="character" w:styleId="WW8Num15z0">
    <w:name w:val="WW8Num15z0"/>
    <w:qFormat/>
    <w:rPr>
      <w:rFonts w:ascii="Symbol" w:hAnsi="Symbol" w:cs="Symbol"/>
      <w:sz w:val="24"/>
      <w:szCs w:val="24"/>
    </w:rPr>
  </w:style>
  <w:style w:type="character" w:styleId="WW8Num16z0">
    <w:name w:val="WW8Num16z0"/>
    <w:qFormat/>
    <w:rPr>
      <w:rFonts w:ascii="Symbol" w:hAnsi="Symbol" w:cs="Symbol"/>
      <w:sz w:val="24"/>
      <w:szCs w:val="24"/>
    </w:rPr>
  </w:style>
  <w:style w:type="character" w:styleId="Domylnaczcionkaakapitu">
    <w:name w:val="Domyślna czcionka akapitu"/>
    <w:qFormat/>
    <w:rPr/>
  </w:style>
  <w:style w:type="character" w:styleId="WW8Num17z0">
    <w:name w:val="WW8Num17z0"/>
    <w:qFormat/>
    <w:rPr>
      <w:rFonts w:ascii="Symbol" w:hAnsi="Symbol" w:cs="Symbol"/>
    </w:rPr>
  </w:style>
  <w:style w:type="character" w:styleId="Domylnaczcionkaakapitu5">
    <w:name w:val="Domyślna czcionka akapitu5"/>
    <w:qFormat/>
    <w:rPr/>
  </w:style>
  <w:style w:type="character" w:styleId="WW8Num14z1">
    <w:name w:val="WW8Num14z1"/>
    <w:qFormat/>
    <w:rPr>
      <w:rFonts w:ascii="Courier New" w:hAnsi="Courier New" w:cs="Courier New"/>
    </w:rPr>
  </w:style>
  <w:style w:type="character" w:styleId="WW8Num14z2">
    <w:name w:val="WW8Num14z2"/>
    <w:qFormat/>
    <w:rPr>
      <w:rFonts w:ascii="Wingdings" w:hAnsi="Wingdings" w:cs="Wingdings"/>
    </w:rPr>
  </w:style>
  <w:style w:type="character" w:styleId="WW8Num15z1">
    <w:name w:val="WW8Num15z1"/>
    <w:qFormat/>
    <w:rPr>
      <w:rFonts w:ascii="Courier New" w:hAnsi="Courier New" w:cs="Courier New"/>
    </w:rPr>
  </w:style>
  <w:style w:type="character" w:styleId="WW8Num15z2">
    <w:name w:val="WW8Num15z2"/>
    <w:qFormat/>
    <w:rPr>
      <w:rFonts w:ascii="Wingdings" w:hAnsi="Wingdings" w:cs="Wingdings"/>
    </w:rPr>
  </w:style>
  <w:style w:type="character" w:styleId="WW8Num16z1">
    <w:name w:val="WW8Num16z1"/>
    <w:qFormat/>
    <w:rPr>
      <w:rFonts w:ascii="Courier New" w:hAnsi="Courier New" w:cs="Courier New"/>
    </w:rPr>
  </w:style>
  <w:style w:type="character" w:styleId="WW8Num16z2">
    <w:name w:val="WW8Num16z2"/>
    <w:qFormat/>
    <w:rPr>
      <w:rFonts w:ascii="Wingdings" w:hAnsi="Wingdings" w:cs="Wingdings"/>
    </w:rPr>
  </w:style>
  <w:style w:type="character" w:styleId="WW8Num17z1">
    <w:name w:val="WW8Num17z1"/>
    <w:qFormat/>
    <w:rPr>
      <w:rFonts w:ascii="Courier New" w:hAnsi="Courier New" w:cs="Courier New"/>
    </w:rPr>
  </w:style>
  <w:style w:type="character" w:styleId="WW8Num17z2">
    <w:name w:val="WW8Num17z2"/>
    <w:qFormat/>
    <w:rPr>
      <w:rFonts w:ascii="Wingdings" w:hAnsi="Wingdings" w:cs="Wingdings"/>
    </w:rPr>
  </w:style>
  <w:style w:type="character" w:styleId="WW8Num18z0">
    <w:name w:val="WW8Num18z0"/>
    <w:qFormat/>
    <w:rPr>
      <w:rFonts w:ascii="Symbol" w:hAnsi="Symbol" w:cs="Symbol"/>
    </w:rPr>
  </w:style>
  <w:style w:type="character" w:styleId="WW8Num18z1">
    <w:name w:val="WW8Num18z1"/>
    <w:qFormat/>
    <w:rPr>
      <w:rFonts w:ascii="Courier New" w:hAnsi="Courier New" w:cs="Courier New"/>
    </w:rPr>
  </w:style>
  <w:style w:type="character" w:styleId="WW8Num18z2">
    <w:name w:val="WW8Num18z2"/>
    <w:qFormat/>
    <w:rPr>
      <w:rFonts w:ascii="Wingdings" w:hAnsi="Wingdings" w:cs="Wingdings"/>
    </w:rPr>
  </w:style>
  <w:style w:type="character" w:styleId="WW8Num19z0">
    <w:name w:val="WW8Num19z0"/>
    <w:qFormat/>
    <w:rPr>
      <w:rFonts w:ascii="Symbol" w:hAnsi="Symbol" w:cs="Symbol"/>
    </w:rPr>
  </w:style>
  <w:style w:type="character" w:styleId="WW8Num19z1">
    <w:name w:val="WW8Num19z1"/>
    <w:qFormat/>
    <w:rPr>
      <w:rFonts w:ascii="Courier New" w:hAnsi="Courier New" w:cs="Courier New"/>
    </w:rPr>
  </w:style>
  <w:style w:type="character" w:styleId="WW8Num19z2">
    <w:name w:val="WW8Num19z2"/>
    <w:qFormat/>
    <w:rPr>
      <w:rFonts w:ascii="Wingdings" w:hAnsi="Wingdings" w:cs="Wingdings"/>
    </w:rPr>
  </w:style>
  <w:style w:type="character" w:styleId="Domylnaczcionkaakapitu4">
    <w:name w:val="Domyślna czcionka akapitu4"/>
    <w:qFormat/>
    <w:rPr/>
  </w:style>
  <w:style w:type="character" w:styleId="WW8Num14z3">
    <w:name w:val="WW8Num14z3"/>
    <w:qFormat/>
    <w:rPr>
      <w:rFonts w:ascii="Symbol" w:hAnsi="Symbol" w:cs="Symbol"/>
    </w:rPr>
  </w:style>
  <w:style w:type="character" w:styleId="WW8Num4z1">
    <w:name w:val="WW8Num4z1"/>
    <w:qFormat/>
    <w:rPr>
      <w:rFonts w:ascii="Courier New" w:hAnsi="Courier New" w:cs="Courier New"/>
    </w:rPr>
  </w:style>
  <w:style w:type="character" w:styleId="WW8Num4z3">
    <w:name w:val="WW8Num4z3"/>
    <w:qFormat/>
    <w:rPr>
      <w:rFonts w:ascii="Symbol" w:hAnsi="Symbol" w:cs="Symbol"/>
    </w:rPr>
  </w:style>
  <w:style w:type="character" w:styleId="WW8Num6z1">
    <w:name w:val="WW8Num6z1"/>
    <w:qFormat/>
    <w:rPr/>
  </w:style>
  <w:style w:type="character" w:styleId="WW8Num6z2">
    <w:name w:val="WW8Num6z2"/>
    <w:qFormat/>
    <w:rPr/>
  </w:style>
  <w:style w:type="character" w:styleId="WW8Num6z3">
    <w:name w:val="WW8Num6z3"/>
    <w:qFormat/>
    <w:rPr>
      <w:rFonts w:ascii="Arial" w:hAnsi="Arial" w:cs="Arial"/>
      <w:b/>
      <w:sz w:val="22"/>
      <w:szCs w:val="22"/>
    </w:rPr>
  </w:style>
  <w:style w:type="character" w:styleId="WW8Num6z4">
    <w:name w:val="WW8Num6z4"/>
    <w:qFormat/>
    <w:rPr/>
  </w:style>
  <w:style w:type="character" w:styleId="WW8Num6z5">
    <w:name w:val="WW8Num6z5"/>
    <w:qFormat/>
    <w:rPr/>
  </w:style>
  <w:style w:type="character" w:styleId="WW8Num6z6">
    <w:name w:val="WW8Num6z6"/>
    <w:qFormat/>
    <w:rPr/>
  </w:style>
  <w:style w:type="character" w:styleId="WW8Num6z7">
    <w:name w:val="WW8Num6z7"/>
    <w:qFormat/>
    <w:rPr/>
  </w:style>
  <w:style w:type="character" w:styleId="WW8Num6z8">
    <w:name w:val="WW8Num6z8"/>
    <w:qFormat/>
    <w:rPr/>
  </w:style>
  <w:style w:type="character" w:styleId="WW8Num14z4">
    <w:name w:val="WW8Num14z4"/>
    <w:qFormat/>
    <w:rPr/>
  </w:style>
  <w:style w:type="character" w:styleId="WW8Num14z5">
    <w:name w:val="WW8Num14z5"/>
    <w:qFormat/>
    <w:rPr/>
  </w:style>
  <w:style w:type="character" w:styleId="WW8Num14z6">
    <w:name w:val="WW8Num14z6"/>
    <w:qFormat/>
    <w:rPr/>
  </w:style>
  <w:style w:type="character" w:styleId="WW8Num14z7">
    <w:name w:val="WW8Num14z7"/>
    <w:qFormat/>
    <w:rPr/>
  </w:style>
  <w:style w:type="character" w:styleId="WW8Num14z8">
    <w:name w:val="WW8Num14z8"/>
    <w:qFormat/>
    <w:rPr/>
  </w:style>
  <w:style w:type="character" w:styleId="WW8Num18z3">
    <w:name w:val="WW8Num18z3"/>
    <w:qFormat/>
    <w:rPr/>
  </w:style>
  <w:style w:type="character" w:styleId="WW8Num18z4">
    <w:name w:val="WW8Num18z4"/>
    <w:qFormat/>
    <w:rPr/>
  </w:style>
  <w:style w:type="character" w:styleId="WW8Num18z5">
    <w:name w:val="WW8Num18z5"/>
    <w:qFormat/>
    <w:rPr/>
  </w:style>
  <w:style w:type="character" w:styleId="WW8Num18z6">
    <w:name w:val="WW8Num18z6"/>
    <w:qFormat/>
    <w:rPr/>
  </w:style>
  <w:style w:type="character" w:styleId="WW8Num18z7">
    <w:name w:val="WW8Num18z7"/>
    <w:qFormat/>
    <w:rPr/>
  </w:style>
  <w:style w:type="character" w:styleId="WW8Num18z8">
    <w:name w:val="WW8Num18z8"/>
    <w:qFormat/>
    <w:rPr/>
  </w:style>
  <w:style w:type="character" w:styleId="WW8Num19z3">
    <w:name w:val="WW8Num19z3"/>
    <w:qFormat/>
    <w:rPr/>
  </w:style>
  <w:style w:type="character" w:styleId="WW8Num19z4">
    <w:name w:val="WW8Num19z4"/>
    <w:qFormat/>
    <w:rPr/>
  </w:style>
  <w:style w:type="character" w:styleId="WW8Num19z5">
    <w:name w:val="WW8Num19z5"/>
    <w:qFormat/>
    <w:rPr/>
  </w:style>
  <w:style w:type="character" w:styleId="WW8Num19z6">
    <w:name w:val="WW8Num19z6"/>
    <w:qFormat/>
    <w:rPr/>
  </w:style>
  <w:style w:type="character" w:styleId="WW8Num19z7">
    <w:name w:val="WW8Num19z7"/>
    <w:qFormat/>
    <w:rPr/>
  </w:style>
  <w:style w:type="character" w:styleId="WW8Num19z8">
    <w:name w:val="WW8Num19z8"/>
    <w:qFormat/>
    <w:rPr/>
  </w:style>
  <w:style w:type="character" w:styleId="Domylnaczcionkaakapitu3">
    <w:name w:val="Domyślna czcionka akapitu3"/>
    <w:qFormat/>
    <w:rPr/>
  </w:style>
  <w:style w:type="character" w:styleId="WW8Num7z1">
    <w:name w:val="WW8Num7z1"/>
    <w:qFormat/>
    <w:rPr/>
  </w:style>
  <w:style w:type="character" w:styleId="WW8Num7z2">
    <w:name w:val="WW8Num7z2"/>
    <w:qFormat/>
    <w:rPr/>
  </w:style>
  <w:style w:type="character" w:styleId="WW8Num7z3">
    <w:name w:val="WW8Num7z3"/>
    <w:qFormat/>
    <w:rPr>
      <w:rFonts w:ascii="Arial" w:hAnsi="Arial" w:cs="Arial"/>
      <w:b/>
      <w:sz w:val="22"/>
      <w:szCs w:val="22"/>
    </w:rPr>
  </w:style>
  <w:style w:type="character" w:styleId="WW8Num7z4">
    <w:name w:val="WW8Num7z4"/>
    <w:qFormat/>
    <w:rPr/>
  </w:style>
  <w:style w:type="character" w:styleId="WW8Num7z5">
    <w:name w:val="WW8Num7z5"/>
    <w:qFormat/>
    <w:rPr/>
  </w:style>
  <w:style w:type="character" w:styleId="WW8Num7z6">
    <w:name w:val="WW8Num7z6"/>
    <w:qFormat/>
    <w:rPr/>
  </w:style>
  <w:style w:type="character" w:styleId="WW8Num7z7">
    <w:name w:val="WW8Num7z7"/>
    <w:qFormat/>
    <w:rPr/>
  </w:style>
  <w:style w:type="character" w:styleId="WW8Num7z8">
    <w:name w:val="WW8Num7z8"/>
    <w:qFormat/>
    <w:rPr/>
  </w:style>
  <w:style w:type="character" w:styleId="WW8Num15z3">
    <w:name w:val="WW8Num15z3"/>
    <w:qFormat/>
    <w:rPr/>
  </w:style>
  <w:style w:type="character" w:styleId="WW8Num15z4">
    <w:name w:val="WW8Num15z4"/>
    <w:qFormat/>
    <w:rPr/>
  </w:style>
  <w:style w:type="character" w:styleId="WW8Num15z5">
    <w:name w:val="WW8Num15z5"/>
    <w:qFormat/>
    <w:rPr/>
  </w:style>
  <w:style w:type="character" w:styleId="WW8Num15z6">
    <w:name w:val="WW8Num15z6"/>
    <w:qFormat/>
    <w:rPr/>
  </w:style>
  <w:style w:type="character" w:styleId="WW8Num15z7">
    <w:name w:val="WW8Num15z7"/>
    <w:qFormat/>
    <w:rPr/>
  </w:style>
  <w:style w:type="character" w:styleId="WW8Num15z8">
    <w:name w:val="WW8Num15z8"/>
    <w:qFormat/>
    <w:rPr/>
  </w:style>
  <w:style w:type="character" w:styleId="Domylnaczcionkaakapitu2">
    <w:name w:val="Domyślna czcionka akapitu2"/>
    <w:qFormat/>
    <w:rPr/>
  </w:style>
  <w:style w:type="character" w:styleId="WW8Num2z1">
    <w:name w:val="WW8Num2z1"/>
    <w:qFormat/>
    <w:rPr>
      <w:rFonts w:ascii="Courier New" w:hAnsi="Courier New" w:cs="Courier New"/>
    </w:rPr>
  </w:style>
  <w:style w:type="character" w:styleId="WW8Num2z2">
    <w:name w:val="WW8Num2z2"/>
    <w:qFormat/>
    <w:rPr>
      <w:rFonts w:ascii="Wingdings" w:hAnsi="Wingdings" w:cs="Wingdings"/>
    </w:rPr>
  </w:style>
  <w:style w:type="character" w:styleId="WW8Num3z2">
    <w:name w:val="WW8Num3z2"/>
    <w:qFormat/>
    <w:rPr/>
  </w:style>
  <w:style w:type="character" w:styleId="WW8Num3z4">
    <w:name w:val="WW8Num3z4"/>
    <w:qFormat/>
    <w:rPr/>
  </w:style>
  <w:style w:type="character" w:styleId="WW8Num3z5">
    <w:name w:val="WW8Num3z5"/>
    <w:qFormat/>
    <w:rPr/>
  </w:style>
  <w:style w:type="character" w:styleId="WW8Num3z6">
    <w:name w:val="WW8Num3z6"/>
    <w:qFormat/>
    <w:rPr/>
  </w:style>
  <w:style w:type="character" w:styleId="WW8Num3z7">
    <w:name w:val="WW8Num3z7"/>
    <w:qFormat/>
    <w:rPr/>
  </w:style>
  <w:style w:type="character" w:styleId="WW8Num3z8">
    <w:name w:val="WW8Num3z8"/>
    <w:qFormat/>
    <w:rPr/>
  </w:style>
  <w:style w:type="character" w:styleId="WW8Num4z2">
    <w:name w:val="WW8Num4z2"/>
    <w:qFormat/>
    <w:rPr>
      <w:rFonts w:ascii="Wingdings" w:hAnsi="Wingdings" w:cs="Wingdings"/>
    </w:rPr>
  </w:style>
  <w:style w:type="character" w:styleId="WW8Num5z1">
    <w:name w:val="WW8Num5z1"/>
    <w:qFormat/>
    <w:rPr>
      <w:rFonts w:ascii="Courier New" w:hAnsi="Courier New" w:cs="Courier New"/>
    </w:rPr>
  </w:style>
  <w:style w:type="character" w:styleId="WW8Num5z3">
    <w:name w:val="WW8Num5z3"/>
    <w:qFormat/>
    <w:rPr>
      <w:rFonts w:ascii="Symbol" w:hAnsi="Symbol" w:cs="Symbol"/>
    </w:rPr>
  </w:style>
  <w:style w:type="character" w:styleId="WW8Num8z1">
    <w:name w:val="WW8Num8z1"/>
    <w:qFormat/>
    <w:rPr>
      <w:rFonts w:ascii="Courier New" w:hAnsi="Courier New" w:cs="Courier New"/>
    </w:rPr>
  </w:style>
  <w:style w:type="character" w:styleId="WW8Num8z2">
    <w:name w:val="WW8Num8z2"/>
    <w:qFormat/>
    <w:rPr>
      <w:rFonts w:ascii="Wingdings" w:hAnsi="Wingdings" w:cs="Wingdings"/>
    </w:rPr>
  </w:style>
  <w:style w:type="character" w:styleId="WW8Num9z1">
    <w:name w:val="WW8Num9z1"/>
    <w:qFormat/>
    <w:rPr/>
  </w:style>
  <w:style w:type="character" w:styleId="WW8Num9z2">
    <w:name w:val="WW8Num9z2"/>
    <w:qFormat/>
    <w:rPr/>
  </w:style>
  <w:style w:type="character" w:styleId="WW8Num9z3">
    <w:name w:val="WW8Num9z3"/>
    <w:qFormat/>
    <w:rPr>
      <w:rFonts w:ascii="Arial" w:hAnsi="Arial" w:cs="Arial"/>
      <w:b/>
      <w:sz w:val="22"/>
      <w:szCs w:val="22"/>
    </w:rPr>
  </w:style>
  <w:style w:type="character" w:styleId="WW8Num9z4">
    <w:name w:val="WW8Num9z4"/>
    <w:qFormat/>
    <w:rPr/>
  </w:style>
  <w:style w:type="character" w:styleId="WW8Num9z5">
    <w:name w:val="WW8Num9z5"/>
    <w:qFormat/>
    <w:rPr/>
  </w:style>
  <w:style w:type="character" w:styleId="WW8Num9z6">
    <w:name w:val="WW8Num9z6"/>
    <w:qFormat/>
    <w:rPr/>
  </w:style>
  <w:style w:type="character" w:styleId="WW8Num9z7">
    <w:name w:val="WW8Num9z7"/>
    <w:qFormat/>
    <w:rPr/>
  </w:style>
  <w:style w:type="character" w:styleId="WW8Num9z8">
    <w:name w:val="WW8Num9z8"/>
    <w:qFormat/>
    <w:rPr/>
  </w:style>
  <w:style w:type="character" w:styleId="WW8Num12z1">
    <w:name w:val="WW8Num12z1"/>
    <w:qFormat/>
    <w:rPr/>
  </w:style>
  <w:style w:type="character" w:styleId="WW8Num12z2">
    <w:name w:val="WW8Num12z2"/>
    <w:qFormat/>
    <w:rPr/>
  </w:style>
  <w:style w:type="character" w:styleId="WW8Num12z3">
    <w:name w:val="WW8Num12z3"/>
    <w:qFormat/>
    <w:rPr/>
  </w:style>
  <w:style w:type="character" w:styleId="WW8Num12z4">
    <w:name w:val="WW8Num12z4"/>
    <w:qFormat/>
    <w:rPr/>
  </w:style>
  <w:style w:type="character" w:styleId="WW8Num12z5">
    <w:name w:val="WW8Num12z5"/>
    <w:qFormat/>
    <w:rPr/>
  </w:style>
  <w:style w:type="character" w:styleId="WW8Num12z6">
    <w:name w:val="WW8Num12z6"/>
    <w:qFormat/>
    <w:rPr/>
  </w:style>
  <w:style w:type="character" w:styleId="WW8Num12z7">
    <w:name w:val="WW8Num12z7"/>
    <w:qFormat/>
    <w:rPr/>
  </w:style>
  <w:style w:type="character" w:styleId="WW8Num12z8">
    <w:name w:val="WW8Num12z8"/>
    <w:qFormat/>
    <w:rPr/>
  </w:style>
  <w:style w:type="character" w:styleId="WW8Num13z1">
    <w:name w:val="WW8Num13z1"/>
    <w:qFormat/>
    <w:rPr>
      <w:rFonts w:ascii="Courier New" w:hAnsi="Courier New" w:cs="Courier New"/>
    </w:rPr>
  </w:style>
  <w:style w:type="character" w:styleId="WW8Num13z2">
    <w:name w:val="WW8Num13z2"/>
    <w:qFormat/>
    <w:rPr>
      <w:rFonts w:ascii="Wingdings" w:hAnsi="Wingdings" w:cs="Wingdings"/>
    </w:rPr>
  </w:style>
  <w:style w:type="character" w:styleId="WW8Num20z0">
    <w:name w:val="WW8Num20z0"/>
    <w:qFormat/>
    <w:rPr>
      <w:rFonts w:ascii="Symbol" w:hAnsi="Symbol" w:cs="Symbol"/>
    </w:rPr>
  </w:style>
  <w:style w:type="character" w:styleId="WW8Num20z1">
    <w:name w:val="WW8Num20z1"/>
    <w:qFormat/>
    <w:rPr>
      <w:rFonts w:ascii="Courier New" w:hAnsi="Courier New" w:cs="Courier New"/>
    </w:rPr>
  </w:style>
  <w:style w:type="character" w:styleId="WW8Num20z2">
    <w:name w:val="WW8Num20z2"/>
    <w:qFormat/>
    <w:rPr>
      <w:rFonts w:ascii="Wingdings" w:hAnsi="Wingdings" w:cs="Wingdings"/>
    </w:rPr>
  </w:style>
  <w:style w:type="character" w:styleId="WW8Num21z0">
    <w:name w:val="WW8Num21z0"/>
    <w:qFormat/>
    <w:rPr>
      <w:rFonts w:ascii="Symbol" w:hAnsi="Symbol" w:cs="Symbol"/>
    </w:rPr>
  </w:style>
  <w:style w:type="character" w:styleId="WW8Num21z1">
    <w:name w:val="WW8Num21z1"/>
    <w:qFormat/>
    <w:rPr>
      <w:rFonts w:ascii="Courier New" w:hAnsi="Courier New" w:cs="Courier New"/>
    </w:rPr>
  </w:style>
  <w:style w:type="character" w:styleId="WW8Num21z2">
    <w:name w:val="WW8Num21z2"/>
    <w:qFormat/>
    <w:rPr>
      <w:rFonts w:ascii="Wingdings" w:hAnsi="Wingdings" w:cs="Wingdings"/>
    </w:rPr>
  </w:style>
  <w:style w:type="character" w:styleId="WW8Num22z0">
    <w:name w:val="WW8Num22z0"/>
    <w:qFormat/>
    <w:rPr/>
  </w:style>
  <w:style w:type="character" w:styleId="WW8Num22z1">
    <w:name w:val="WW8Num22z1"/>
    <w:qFormat/>
    <w:rPr/>
  </w:style>
  <w:style w:type="character" w:styleId="WW8Num22z2">
    <w:name w:val="WW8Num22z2"/>
    <w:qFormat/>
    <w:rPr/>
  </w:style>
  <w:style w:type="character" w:styleId="WW8Num22z3">
    <w:name w:val="WW8Num22z3"/>
    <w:qFormat/>
    <w:rPr/>
  </w:style>
  <w:style w:type="character" w:styleId="WW8Num22z4">
    <w:name w:val="WW8Num22z4"/>
    <w:qFormat/>
    <w:rPr/>
  </w:style>
  <w:style w:type="character" w:styleId="WW8Num22z5">
    <w:name w:val="WW8Num22z5"/>
    <w:qFormat/>
    <w:rPr/>
  </w:style>
  <w:style w:type="character" w:styleId="WW8Num22z6">
    <w:name w:val="WW8Num22z6"/>
    <w:qFormat/>
    <w:rPr/>
  </w:style>
  <w:style w:type="character" w:styleId="WW8Num22z7">
    <w:name w:val="WW8Num22z7"/>
    <w:qFormat/>
    <w:rPr/>
  </w:style>
  <w:style w:type="character" w:styleId="WW8Num22z8">
    <w:name w:val="WW8Num22z8"/>
    <w:qFormat/>
    <w:rPr/>
  </w:style>
  <w:style w:type="character" w:styleId="Domylnaczcionkaakapitu1">
    <w:name w:val="Domyślna czcionka akapitu1"/>
    <w:qFormat/>
    <w:rPr/>
  </w:style>
  <w:style w:type="character" w:styleId="ZnakZnak5">
    <w:name w:val=" Znak Znak5"/>
    <w:qFormat/>
    <w:rPr>
      <w:rFonts w:ascii="Times New Roman" w:hAnsi="Times New Roman" w:cs="Times New Roman"/>
      <w:b/>
      <w:bCs/>
      <w:i/>
      <w:iCs/>
      <w:sz w:val="26"/>
      <w:szCs w:val="26"/>
    </w:rPr>
  </w:style>
  <w:style w:type="character" w:styleId="ZnakZnak3">
    <w:name w:val=" Znak Znak3"/>
    <w:qFormat/>
    <w:rPr>
      <w:rFonts w:ascii="Arial" w:hAnsi="Arial" w:cs="Arial"/>
      <w:b/>
      <w:bCs/>
      <w:sz w:val="20"/>
      <w:szCs w:val="20"/>
    </w:rPr>
  </w:style>
  <w:style w:type="character" w:styleId="ZnakZnak2">
    <w:name w:val=" Znak Znak2"/>
    <w:qFormat/>
    <w:rPr>
      <w:rFonts w:ascii="Times New Roman" w:hAnsi="Times New Roman" w:cs="Times New Roman"/>
      <w:sz w:val="20"/>
      <w:szCs w:val="20"/>
    </w:rPr>
  </w:style>
  <w:style w:type="character" w:styleId="ZnakZnak1">
    <w:name w:val=" Znak Znak1"/>
    <w:qFormat/>
    <w:rPr>
      <w:rFonts w:ascii="Times New Roman" w:hAnsi="Times New Roman" w:cs="Times New Roman"/>
      <w:sz w:val="20"/>
      <w:szCs w:val="20"/>
    </w:rPr>
  </w:style>
  <w:style w:type="character" w:styleId="Wyrnienie">
    <w:name w:val="Wyróżnienie"/>
    <w:qFormat/>
    <w:rPr>
      <w:i/>
      <w:iCs/>
    </w:rPr>
  </w:style>
  <w:style w:type="character" w:styleId="ZnakZnak">
    <w:name w:val=" Znak Znak"/>
    <w:qFormat/>
    <w:rPr>
      <w:rFonts w:ascii="Tahoma" w:hAnsi="Tahoma" w:eastAsia="Times New Roman" w:cs="Tahoma"/>
      <w:sz w:val="16"/>
      <w:szCs w:val="16"/>
    </w:rPr>
  </w:style>
  <w:style w:type="character" w:styleId="Appleconvertedspace">
    <w:name w:val="apple-converted-space"/>
    <w:basedOn w:val="Domylnaczcionkaakapitu1"/>
    <w:qFormat/>
    <w:rPr/>
  </w:style>
  <w:style w:type="character" w:styleId="Mocnowyrniony">
    <w:name w:val="Mocno wyróżniony"/>
    <w:qFormat/>
    <w:rPr>
      <w:b/>
      <w:bCs/>
    </w:rPr>
  </w:style>
  <w:style w:type="character" w:styleId="ZnakZnak4">
    <w:name w:val=" Znak Znak4"/>
    <w:qFormat/>
    <w:rPr>
      <w:rFonts w:ascii="Calibri" w:hAnsi="Calibri" w:eastAsia="Times New Roman" w:cs="Times New Roman"/>
      <w:b/>
      <w:bCs/>
      <w:sz w:val="22"/>
      <w:szCs w:val="22"/>
    </w:rPr>
  </w:style>
  <w:style w:type="character" w:styleId="2Znak">
    <w:name w:val="2 Znak"/>
    <w:qFormat/>
    <w:rPr>
      <w:rFonts w:ascii="Arial" w:hAnsi="Arial" w:cs="Arial"/>
      <w:b/>
      <w:spacing w:val="20"/>
      <w:sz w:val="26"/>
      <w:szCs w:val="26"/>
      <w:lang w:val="pl-PL" w:bidi="ar-SA"/>
    </w:rPr>
  </w:style>
  <w:style w:type="character" w:styleId="3Znak">
    <w:name w:val="3 Znak"/>
    <w:qFormat/>
    <w:rPr>
      <w:rFonts w:ascii="Arial" w:hAnsi="Arial" w:eastAsia="Times New Roman" w:cs="Arial"/>
      <w:spacing w:val="20"/>
      <w:sz w:val="26"/>
      <w:szCs w:val="26"/>
      <w:shd w:fill="99CC00" w:val="clear"/>
      <w:lang w:val="pl-PL"/>
    </w:rPr>
  </w:style>
  <w:style w:type="character" w:styleId="4Znak">
    <w:name w:val="4 Znak"/>
    <w:qFormat/>
    <w:rPr>
      <w:rFonts w:ascii="Arial" w:hAnsi="Arial" w:eastAsia="Times New Roman" w:cs="Arial"/>
      <w:spacing w:val="20"/>
      <w:sz w:val="26"/>
      <w:szCs w:val="26"/>
      <w:shd w:fill="99CC00" w:val="clear"/>
      <w:lang w:val="pl-PL"/>
    </w:rPr>
  </w:style>
  <w:style w:type="character" w:styleId="5Znak">
    <w:name w:val="5 Znak"/>
    <w:qFormat/>
    <w:rPr>
      <w:rFonts w:ascii="Arial" w:hAnsi="Arial" w:eastAsia="Times New Roman" w:cs="Arial"/>
      <w:spacing w:val="20"/>
      <w:sz w:val="26"/>
      <w:szCs w:val="26"/>
      <w:shd w:fill="99CC00" w:val="clear"/>
      <w:lang w:val="pl-PL"/>
    </w:rPr>
  </w:style>
  <w:style w:type="character" w:styleId="I1Znak">
    <w:name w:val="I.1 Znak"/>
    <w:qFormat/>
    <w:rPr>
      <w:rFonts w:ascii="Arial" w:hAnsi="Arial" w:eastAsia="Times New Roman" w:cs="Arial"/>
      <w:b/>
      <w:bCs/>
      <w:iCs/>
      <w:sz w:val="22"/>
      <w:szCs w:val="22"/>
      <w:lang w:val="pl-PL"/>
    </w:rPr>
  </w:style>
  <w:style w:type="character" w:styleId="III1Znak">
    <w:name w:val="III.1 Znak"/>
    <w:qFormat/>
    <w:rPr>
      <w:rFonts w:ascii="Arial" w:hAnsi="Arial" w:eastAsia="Times New Roman" w:cs="Arial"/>
      <w:b/>
      <w:bCs/>
      <w:iCs/>
      <w:sz w:val="22"/>
      <w:szCs w:val="22"/>
      <w:lang w:val="pl-PL"/>
    </w:rPr>
  </w:style>
  <w:style w:type="character" w:styleId="ZnakZnak6">
    <w:name w:val=" Znak Znak6"/>
    <w:qFormat/>
    <w:rPr>
      <w:rFonts w:ascii="Calibri Light" w:hAnsi="Calibri Light" w:eastAsia="Times New Roman" w:cs="Times New Roman"/>
      <w:b/>
      <w:bCs/>
      <w:i/>
      <w:iCs/>
      <w:sz w:val="28"/>
      <w:szCs w:val="28"/>
    </w:rPr>
  </w:style>
  <w:style w:type="character" w:styleId="BBF1StopieZnak">
    <w:name w:val="BBF-1 Stopień Znak"/>
    <w:qFormat/>
    <w:rPr>
      <w:rFonts w:ascii="Arial" w:hAnsi="Arial" w:eastAsia="Times New Roman" w:cs="Arial"/>
      <w:b/>
      <w:sz w:val="24"/>
      <w:szCs w:val="24"/>
    </w:rPr>
  </w:style>
  <w:style w:type="character" w:styleId="ZnakZnak7">
    <w:name w:val=" Znak Znak7"/>
    <w:qFormat/>
    <w:rPr>
      <w:rFonts w:ascii="Calibri Light" w:hAnsi="Calibri Light" w:eastAsia="Times New Roman" w:cs="Times New Roman"/>
      <w:b/>
      <w:bCs/>
      <w:kern w:val="2"/>
      <w:sz w:val="32"/>
      <w:szCs w:val="32"/>
    </w:rPr>
  </w:style>
  <w:style w:type="character" w:styleId="Tekstrdowy">
    <w:name w:val="Tekst źródłowy"/>
    <w:qFormat/>
    <w:rPr>
      <w:rFonts w:ascii="Liberation Mono;Courier New" w:hAnsi="Liberation Mono;Courier New" w:eastAsia="NSimSun" w:cs="Liberation Mono;Courier New"/>
    </w:rPr>
  </w:style>
  <w:style w:type="character" w:styleId="NagwekZnak">
    <w:name w:val="Nagłówek Znak"/>
    <w:qFormat/>
    <w:rPr>
      <w:lang w:eastAsia="zh-CN"/>
    </w:rPr>
  </w:style>
  <w:style w:type="character" w:styleId="Czeinternetowe">
    <w:name w:val="Łącze internetowe"/>
    <w:rPr>
      <w:color w:val="0563C1"/>
      <w:u w:val="single"/>
    </w:rPr>
  </w:style>
  <w:style w:type="character" w:styleId="WWCharLFO31LVL1">
    <w:name w:val="WW_CharLFO31LVL1"/>
    <w:qFormat/>
    <w:rPr>
      <w:rFonts w:ascii="Symbol" w:hAnsi="Symbol" w:cs="Symbol"/>
      <w:b/>
      <w:sz w:val="24"/>
      <w:szCs w:val="24"/>
    </w:rPr>
  </w:style>
  <w:style w:type="character" w:styleId="WWCharLFO31LVL2">
    <w:name w:val="WW_CharLFO31LVL2"/>
    <w:qFormat/>
    <w:rPr>
      <w:rFonts w:ascii="Courier New" w:hAnsi="Courier New" w:cs="Courier New"/>
    </w:rPr>
  </w:style>
  <w:style w:type="character" w:styleId="WWCharLFO31LVL3">
    <w:name w:val="WW_CharLFO31LVL3"/>
    <w:qFormat/>
    <w:rPr>
      <w:rFonts w:ascii="Wingdings" w:hAnsi="Wingdings" w:cs="Wingdings"/>
    </w:rPr>
  </w:style>
  <w:style w:type="character" w:styleId="WWCharLFO31LVL4">
    <w:name w:val="WW_CharLFO31LVL4"/>
    <w:qFormat/>
    <w:rPr>
      <w:rFonts w:ascii="Symbol" w:hAnsi="Symbol" w:cs="Symbol"/>
    </w:rPr>
  </w:style>
  <w:style w:type="character" w:styleId="WWCharLFO31LVL5">
    <w:name w:val="WW_CharLFO31LVL5"/>
    <w:qFormat/>
    <w:rPr>
      <w:rFonts w:ascii="Courier New" w:hAnsi="Courier New" w:cs="Courier New"/>
    </w:rPr>
  </w:style>
  <w:style w:type="character" w:styleId="WWCharLFO31LVL6">
    <w:name w:val="WW_CharLFO31LVL6"/>
    <w:qFormat/>
    <w:rPr>
      <w:rFonts w:ascii="Wingdings" w:hAnsi="Wingdings" w:cs="Wingdings"/>
    </w:rPr>
  </w:style>
  <w:style w:type="character" w:styleId="WWCharLFO31LVL7">
    <w:name w:val="WW_CharLFO31LVL7"/>
    <w:qFormat/>
    <w:rPr>
      <w:rFonts w:ascii="Symbol" w:hAnsi="Symbol" w:cs="Symbol"/>
    </w:rPr>
  </w:style>
  <w:style w:type="character" w:styleId="WWCharLFO31LVL8">
    <w:name w:val="WW_CharLFO31LVL8"/>
    <w:qFormat/>
    <w:rPr>
      <w:rFonts w:ascii="Courier New" w:hAnsi="Courier New" w:cs="Courier New"/>
    </w:rPr>
  </w:style>
  <w:style w:type="character" w:styleId="WWCharLFO31LVL9">
    <w:name w:val="WW_CharLFO31LVL9"/>
    <w:qFormat/>
    <w:rPr>
      <w:rFonts w:ascii="Wingdings" w:hAnsi="Wingdings" w:cs="Wingdings"/>
    </w:rPr>
  </w:style>
  <w:style w:type="character" w:styleId="Czeindeksu">
    <w:name w:val="Łącze indeksu"/>
    <w:qFormat/>
    <w:rPr/>
  </w:style>
  <w:style w:type="character" w:styleId="Znakinumeracji">
    <w:name w:val="Znaki numeracji"/>
    <w:qFormat/>
    <w:rPr/>
  </w:style>
  <w:style w:type="character" w:styleId="WWCharLFO9LVL1">
    <w:name w:val="WW_CharLFO9LVL1"/>
    <w:qFormat/>
    <w:rPr>
      <w:lang w:val="pl-PL"/>
    </w:rPr>
  </w:style>
  <w:style w:type="character" w:styleId="ListLabel1">
    <w:name w:val="ListLabel 1"/>
    <w:qFormat/>
    <w:rPr>
      <w:sz w:val="24"/>
      <w:szCs w:val="24"/>
    </w:rPr>
  </w:style>
  <w:style w:type="character" w:styleId="ListLabel2">
    <w:name w:val="ListLabel 2"/>
    <w:qFormat/>
    <w:rPr>
      <w:rFonts w:cs="Wingdings"/>
    </w:rPr>
  </w:style>
  <w:style w:type="character" w:styleId="ListLabel3">
    <w:name w:val="ListLabel 3"/>
    <w:qFormat/>
    <w:rPr>
      <w:rFonts w:cs="Courier New"/>
    </w:rPr>
  </w:style>
  <w:style w:type="character" w:styleId="ListLabel4">
    <w:name w:val="ListLabel 4"/>
    <w:qFormat/>
    <w:rPr>
      <w:rFonts w:cs="Wingdings"/>
    </w:rPr>
  </w:style>
  <w:style w:type="character" w:styleId="ListLabel5">
    <w:name w:val="ListLabel 5"/>
    <w:qFormat/>
    <w:rPr>
      <w:rFonts w:cs="Symbol"/>
    </w:rPr>
  </w:style>
  <w:style w:type="character" w:styleId="ListLabel6">
    <w:name w:val="ListLabel 6"/>
    <w:qFormat/>
    <w:rPr>
      <w:rFonts w:cs="Courier New"/>
    </w:rPr>
  </w:style>
  <w:style w:type="character" w:styleId="ListLabel7">
    <w:name w:val="ListLabel 7"/>
    <w:qFormat/>
    <w:rPr>
      <w:rFonts w:cs="Wingdings"/>
    </w:rPr>
  </w:style>
  <w:style w:type="character" w:styleId="ListLabel8">
    <w:name w:val="ListLabel 8"/>
    <w:qFormat/>
    <w:rPr>
      <w:rFonts w:cs="Symbol"/>
    </w:rPr>
  </w:style>
  <w:style w:type="character" w:styleId="ListLabel9">
    <w:name w:val="ListLabel 9"/>
    <w:qFormat/>
    <w:rPr>
      <w:rFonts w:cs="Courier New"/>
    </w:rPr>
  </w:style>
  <w:style w:type="character" w:styleId="ListLabel10">
    <w:name w:val="ListLabel 10"/>
    <w:qFormat/>
    <w:rPr>
      <w:rFonts w:cs="Wingdings"/>
    </w:rPr>
  </w:style>
  <w:style w:type="character" w:styleId="ListLabel11">
    <w:name w:val="ListLabel 11"/>
    <w:qFormat/>
    <w:rPr>
      <w:rFonts w:cs="Arial"/>
      <w:b/>
      <w:i w:val="false"/>
      <w:sz w:val="24"/>
      <w:u w:val="none"/>
    </w:rPr>
  </w:style>
  <w:style w:type="character" w:styleId="ListLabel12">
    <w:name w:val="ListLabel 12"/>
    <w:qFormat/>
    <w:rPr>
      <w:rFonts w:cs="Symbol"/>
      <w:b/>
      <w:sz w:val="22"/>
      <w:szCs w:val="24"/>
    </w:rPr>
  </w:style>
  <w:style w:type="character" w:styleId="ListLabel13">
    <w:name w:val="ListLabel 13"/>
    <w:qFormat/>
    <w:rPr>
      <w:rFonts w:cs="Symbol"/>
      <w:sz w:val="24"/>
      <w:szCs w:val="24"/>
    </w:rPr>
  </w:style>
  <w:style w:type="character" w:styleId="ListLabel14">
    <w:name w:val="ListLabel 14"/>
    <w:qFormat/>
    <w:rPr>
      <w:rFonts w:cs="Times New Roman"/>
      <w:b/>
      <w:sz w:val="28"/>
      <w:szCs w:val="24"/>
    </w:rPr>
  </w:style>
  <w:style w:type="character" w:styleId="ListLabel15">
    <w:name w:val="ListLabel 15"/>
    <w:qFormat/>
    <w:rPr>
      <w:rFonts w:cs="Times New Roman"/>
      <w:b/>
      <w:bCs w:val="false"/>
      <w:sz w:val="28"/>
      <w:szCs w:val="24"/>
    </w:rPr>
  </w:style>
  <w:style w:type="character" w:styleId="ListLabel16">
    <w:name w:val="ListLabel 16"/>
    <w:qFormat/>
    <w:rPr>
      <w:rFonts w:cs="Symbol"/>
      <w:sz w:val="24"/>
      <w:szCs w:val="24"/>
    </w:rPr>
  </w:style>
  <w:style w:type="character" w:styleId="ListLabel17">
    <w:name w:val="ListLabel 17"/>
    <w:qFormat/>
    <w:rPr>
      <w:rFonts w:cs="Symbol"/>
      <w:sz w:val="24"/>
      <w:szCs w:val="24"/>
    </w:rPr>
  </w:style>
  <w:style w:type="character" w:styleId="ListLabel18">
    <w:name w:val="ListLabel 18"/>
    <w:qFormat/>
    <w:rPr>
      <w:rFonts w:cs="Symbol"/>
      <w:sz w:val="24"/>
      <w:szCs w:val="24"/>
    </w:rPr>
  </w:style>
  <w:style w:type="character" w:styleId="ListLabel19">
    <w:name w:val="ListLabel 19"/>
    <w:qFormat/>
    <w:rPr>
      <w:rFonts w:cs="Symbol"/>
      <w:sz w:val="24"/>
      <w:szCs w:val="24"/>
    </w:rPr>
  </w:style>
  <w:style w:type="character" w:styleId="ListLabel20">
    <w:name w:val="ListLabel 20"/>
    <w:qFormat/>
    <w:rPr>
      <w:lang w:val="pl-PL"/>
    </w:rPr>
  </w:style>
  <w:style w:type="character" w:styleId="ListLabel21">
    <w:name w:val="ListLabel 21"/>
    <w:qFormat/>
    <w:rPr>
      <w:sz w:val="24"/>
      <w:szCs w:val="24"/>
    </w:rPr>
  </w:style>
  <w:style w:type="character" w:styleId="ListLabel22">
    <w:name w:val="ListLabel 22"/>
    <w:qFormat/>
    <w:rPr>
      <w:rFonts w:cs="Symbol"/>
      <w:b/>
      <w:sz w:val="22"/>
      <w:szCs w:val="24"/>
    </w:rPr>
  </w:style>
  <w:style w:type="character" w:styleId="ListLabel23">
    <w:name w:val="ListLabel 23"/>
    <w:qFormat/>
    <w:rPr>
      <w:rFonts w:cs="Symbol"/>
      <w:sz w:val="24"/>
      <w:szCs w:val="24"/>
    </w:rPr>
  </w:style>
  <w:style w:type="character" w:styleId="ListLabel24">
    <w:name w:val="ListLabel 24"/>
    <w:qFormat/>
    <w:rPr>
      <w:rFonts w:cs="Symbol"/>
      <w:sz w:val="24"/>
      <w:szCs w:val="24"/>
    </w:rPr>
  </w:style>
  <w:style w:type="character" w:styleId="ListLabel25">
    <w:name w:val="ListLabel 25"/>
    <w:qFormat/>
    <w:rPr>
      <w:rFonts w:cs="Symbol"/>
      <w:sz w:val="24"/>
      <w:szCs w:val="24"/>
    </w:rPr>
  </w:style>
  <w:style w:type="character" w:styleId="ListLabel26">
    <w:name w:val="ListLabel 26"/>
    <w:qFormat/>
    <w:rPr>
      <w:rFonts w:cs="Symbol"/>
      <w:sz w:val="24"/>
      <w:szCs w:val="24"/>
    </w:rPr>
  </w:style>
  <w:style w:type="character" w:styleId="ListLabel27">
    <w:name w:val="ListLabel 27"/>
    <w:qFormat/>
    <w:rPr>
      <w:rFonts w:cs="Symbol"/>
      <w:sz w:val="24"/>
      <w:szCs w:val="24"/>
    </w:rPr>
  </w:style>
  <w:style w:type="character" w:styleId="ListLabel28">
    <w:name w:val="ListLabel 28"/>
    <w:qFormat/>
    <w:rPr>
      <w:rFonts w:cs="Symbol"/>
      <w:b/>
      <w:sz w:val="22"/>
      <w:szCs w:val="24"/>
    </w:rPr>
  </w:style>
  <w:style w:type="character" w:styleId="ListLabel29">
    <w:name w:val="ListLabel 29"/>
    <w:qFormat/>
    <w:rPr>
      <w:rFonts w:cs="Symbol"/>
      <w:sz w:val="24"/>
      <w:szCs w:val="24"/>
    </w:rPr>
  </w:style>
  <w:style w:type="character" w:styleId="ListLabel30">
    <w:name w:val="ListLabel 30"/>
    <w:qFormat/>
    <w:rPr>
      <w:rFonts w:cs="Symbol"/>
      <w:sz w:val="24"/>
      <w:szCs w:val="24"/>
    </w:rPr>
  </w:style>
  <w:style w:type="character" w:styleId="ListLabel31">
    <w:name w:val="ListLabel 31"/>
    <w:qFormat/>
    <w:rPr>
      <w:rFonts w:cs="Symbol"/>
      <w:sz w:val="24"/>
      <w:szCs w:val="24"/>
    </w:rPr>
  </w:style>
  <w:style w:type="character" w:styleId="ListLabel32">
    <w:name w:val="ListLabel 32"/>
    <w:qFormat/>
    <w:rPr>
      <w:rFonts w:cs="Symbol"/>
      <w:sz w:val="24"/>
      <w:szCs w:val="24"/>
    </w:rPr>
  </w:style>
  <w:style w:type="character" w:styleId="ListLabel33">
    <w:name w:val="ListLabel 33"/>
    <w:qFormat/>
    <w:rPr>
      <w:rFonts w:cs="Symbol"/>
      <w:sz w:val="24"/>
      <w:szCs w:val="24"/>
    </w:rPr>
  </w:style>
  <w:style w:type="character" w:styleId="ListLabel34">
    <w:name w:val="ListLabel 34"/>
    <w:qFormat/>
    <w:rPr>
      <w:rFonts w:cs="Symbol"/>
      <w:b/>
      <w:sz w:val="22"/>
      <w:szCs w:val="24"/>
    </w:rPr>
  </w:style>
  <w:style w:type="character" w:styleId="ListLabel35">
    <w:name w:val="ListLabel 35"/>
    <w:qFormat/>
    <w:rPr>
      <w:rFonts w:cs="Symbol"/>
      <w:sz w:val="24"/>
      <w:szCs w:val="24"/>
    </w:rPr>
  </w:style>
  <w:style w:type="character" w:styleId="ListLabel36">
    <w:name w:val="ListLabel 36"/>
    <w:qFormat/>
    <w:rPr>
      <w:rFonts w:cs="Symbol"/>
      <w:sz w:val="24"/>
      <w:szCs w:val="24"/>
    </w:rPr>
  </w:style>
  <w:style w:type="character" w:styleId="ListLabel37">
    <w:name w:val="ListLabel 37"/>
    <w:qFormat/>
    <w:rPr>
      <w:rFonts w:cs="Symbol"/>
      <w:sz w:val="24"/>
      <w:szCs w:val="24"/>
    </w:rPr>
  </w:style>
  <w:style w:type="character" w:styleId="ListLabel38">
    <w:name w:val="ListLabel 38"/>
    <w:qFormat/>
    <w:rPr>
      <w:rFonts w:cs="Symbol"/>
      <w:sz w:val="24"/>
      <w:szCs w:val="24"/>
    </w:rPr>
  </w:style>
  <w:style w:type="character" w:styleId="ListLabel39">
    <w:name w:val="ListLabel 39"/>
    <w:qFormat/>
    <w:rPr>
      <w:rFonts w:cs="Symbol"/>
      <w:sz w:val="24"/>
      <w:szCs w:val="24"/>
    </w:rPr>
  </w:style>
  <w:style w:type="character" w:styleId="ListLabel40">
    <w:name w:val="ListLabel 40"/>
    <w:qFormat/>
    <w:rPr>
      <w:rFonts w:cs="Symbol"/>
      <w:b/>
      <w:sz w:val="22"/>
      <w:szCs w:val="24"/>
    </w:rPr>
  </w:style>
  <w:style w:type="character" w:styleId="ListLabel41">
    <w:name w:val="ListLabel 41"/>
    <w:qFormat/>
    <w:rPr>
      <w:rFonts w:cs="Symbol"/>
      <w:sz w:val="24"/>
      <w:szCs w:val="24"/>
    </w:rPr>
  </w:style>
  <w:style w:type="character" w:styleId="ListLabel42">
    <w:name w:val="ListLabel 42"/>
    <w:qFormat/>
    <w:rPr>
      <w:rFonts w:cs="Symbol"/>
      <w:sz w:val="24"/>
      <w:szCs w:val="24"/>
    </w:rPr>
  </w:style>
  <w:style w:type="character" w:styleId="ListLabel43">
    <w:name w:val="ListLabel 43"/>
    <w:qFormat/>
    <w:rPr>
      <w:rFonts w:cs="Symbol"/>
      <w:sz w:val="24"/>
      <w:szCs w:val="24"/>
    </w:rPr>
  </w:style>
  <w:style w:type="character" w:styleId="ListLabel44">
    <w:name w:val="ListLabel 44"/>
    <w:qFormat/>
    <w:rPr>
      <w:rFonts w:cs="Symbol"/>
      <w:sz w:val="24"/>
      <w:szCs w:val="24"/>
    </w:rPr>
  </w:style>
  <w:style w:type="character" w:styleId="ListLabel45">
    <w:name w:val="ListLabel 45"/>
    <w:qFormat/>
    <w:rPr>
      <w:rFonts w:cs="Symbol"/>
      <w:sz w:val="24"/>
      <w:szCs w:val="24"/>
    </w:rPr>
  </w:style>
  <w:style w:type="character" w:styleId="ListLabel46">
    <w:name w:val="ListLabel 46"/>
    <w:qFormat/>
    <w:rPr>
      <w:rFonts w:cs="Symbol"/>
      <w:b/>
      <w:sz w:val="22"/>
      <w:szCs w:val="24"/>
    </w:rPr>
  </w:style>
  <w:style w:type="character" w:styleId="ListLabel47">
    <w:name w:val="ListLabel 47"/>
    <w:qFormat/>
    <w:rPr>
      <w:rFonts w:cs="Symbol"/>
      <w:sz w:val="24"/>
      <w:szCs w:val="24"/>
    </w:rPr>
  </w:style>
  <w:style w:type="character" w:styleId="ListLabel48">
    <w:name w:val="ListLabel 48"/>
    <w:qFormat/>
    <w:rPr>
      <w:rFonts w:cs="Symbol"/>
      <w:sz w:val="24"/>
      <w:szCs w:val="24"/>
    </w:rPr>
  </w:style>
  <w:style w:type="character" w:styleId="ListLabel49">
    <w:name w:val="ListLabel 49"/>
    <w:qFormat/>
    <w:rPr>
      <w:rFonts w:cs="Symbol"/>
      <w:sz w:val="24"/>
      <w:szCs w:val="24"/>
    </w:rPr>
  </w:style>
  <w:style w:type="character" w:styleId="ListLabel50">
    <w:name w:val="ListLabel 50"/>
    <w:qFormat/>
    <w:rPr>
      <w:rFonts w:cs="Symbol"/>
      <w:sz w:val="24"/>
      <w:szCs w:val="24"/>
    </w:rPr>
  </w:style>
  <w:style w:type="character" w:styleId="ListLabel51">
    <w:name w:val="ListLabel 51"/>
    <w:qFormat/>
    <w:rPr>
      <w:rFonts w:cs="Symbol"/>
      <w:sz w:val="24"/>
      <w:szCs w:val="24"/>
    </w:rPr>
  </w:style>
  <w:style w:type="character" w:styleId="ListLabel52">
    <w:name w:val="ListLabel 52"/>
    <w:qFormat/>
    <w:rPr>
      <w:lang w:val="pl-PL"/>
    </w:rPr>
  </w:style>
  <w:style w:type="character" w:styleId="ListLabel53">
    <w:name w:val="ListLabel 53"/>
    <w:qFormat/>
    <w:rPr>
      <w:rFonts w:cs="Symbol"/>
      <w:b/>
      <w:sz w:val="22"/>
      <w:szCs w:val="24"/>
    </w:rPr>
  </w:style>
  <w:style w:type="character" w:styleId="ListLabel54">
    <w:name w:val="ListLabel 54"/>
    <w:qFormat/>
    <w:rPr>
      <w:rFonts w:cs="Symbol"/>
      <w:sz w:val="24"/>
      <w:szCs w:val="24"/>
    </w:rPr>
  </w:style>
  <w:style w:type="character" w:styleId="ListLabel55">
    <w:name w:val="ListLabel 55"/>
    <w:qFormat/>
    <w:rPr>
      <w:rFonts w:cs="Symbol"/>
      <w:sz w:val="24"/>
      <w:szCs w:val="24"/>
    </w:rPr>
  </w:style>
  <w:style w:type="character" w:styleId="ListLabel56">
    <w:name w:val="ListLabel 56"/>
    <w:qFormat/>
    <w:rPr>
      <w:rFonts w:cs="Symbol"/>
      <w:sz w:val="24"/>
      <w:szCs w:val="24"/>
    </w:rPr>
  </w:style>
  <w:style w:type="character" w:styleId="ListLabel57">
    <w:name w:val="ListLabel 57"/>
    <w:qFormat/>
    <w:rPr>
      <w:rFonts w:cs="Symbol"/>
      <w:sz w:val="24"/>
      <w:szCs w:val="24"/>
    </w:rPr>
  </w:style>
  <w:style w:type="character" w:styleId="ListLabel58">
    <w:name w:val="ListLabel 58"/>
    <w:qFormat/>
    <w:rPr>
      <w:rFonts w:cs="Symbol"/>
      <w:sz w:val="24"/>
      <w:szCs w:val="24"/>
    </w:rPr>
  </w:style>
  <w:style w:type="paragraph" w:styleId="Nagwek">
    <w:name w:val="Nagłówek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Tretekstu">
    <w:name w:val="Body Text"/>
    <w:basedOn w:val="Normal"/>
    <w:pPr>
      <w:spacing w:lineRule="auto" w:line="360"/>
      <w:jc w:val="center"/>
    </w:pPr>
    <w:rPr>
      <w:rFonts w:ascii="Arial" w:hAnsi="Arial" w:cs="Arial"/>
      <w:b/>
      <w:bCs/>
      <w:sz w:val="22"/>
      <w:szCs w:val="22"/>
    </w:rPr>
  </w:style>
  <w:style w:type="paragraph" w:styleId="Lista">
    <w:name w:val="List"/>
    <w:basedOn w:val="Tretekstu"/>
    <w:pPr/>
    <w:rPr>
      <w:rFonts w:cs="Arial"/>
    </w:rPr>
  </w:style>
  <w:style w:type="paragraph" w:styleId="Podpis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Arial"/>
    </w:rPr>
  </w:style>
  <w:style w:type="paragraph" w:styleId="Nagwek31">
    <w:name w:val="Nagłówek3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Nagwek51">
    <w:name w:val="Nagłówek5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">
    <w:name w:val="Legenda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agwek4">
    <w:name w:val="Nagłówek4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4">
    <w:name w:val="Legenda4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Legenda3">
    <w:name w:val="Legenda3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agwek21">
    <w:name w:val="Nagłówek2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2">
    <w:name w:val="Legenda2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agwek11">
    <w:name w:val="Nagłówek1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1">
    <w:name w:val="Legenda1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Gwkaistopka">
    <w:name w:val="Główka i stopka"/>
    <w:basedOn w:val="Normal"/>
    <w:qFormat/>
    <w:pPr>
      <w:suppressLineNumbers/>
      <w:tabs>
        <w:tab w:val="clear" w:pos="709"/>
        <w:tab w:val="center" w:pos="4819" w:leader="none"/>
        <w:tab w:val="right" w:pos="9638" w:leader="none"/>
      </w:tabs>
    </w:pPr>
    <w:rPr/>
  </w:style>
  <w:style w:type="paragraph" w:styleId="Gwka">
    <w:name w:val="Header"/>
    <w:basedOn w:val="Normal"/>
    <w:pPr/>
    <w:rPr/>
  </w:style>
  <w:style w:type="paragraph" w:styleId="Stopka">
    <w:name w:val="Footer"/>
    <w:basedOn w:val="Normal"/>
    <w:pPr/>
    <w:rPr/>
  </w:style>
  <w:style w:type="paragraph" w:styleId="Akapitzlist">
    <w:name w:val="Akapit z listą"/>
    <w:basedOn w:val="Normal"/>
    <w:qFormat/>
    <w:pPr>
      <w:ind w:left="720" w:right="0" w:hanging="0"/>
    </w:pPr>
    <w:rPr/>
  </w:style>
  <w:style w:type="paragraph" w:styleId="AB2EC678D6BE4DEEA4B03F6A770A2BBD">
    <w:name w:val="AB2EC678D6BE4DEEA4B03F6A770A2BBD"/>
    <w:qFormat/>
    <w:pPr>
      <w:widowControl/>
      <w:suppressAutoHyphens w:val="true"/>
      <w:bidi w:val="0"/>
      <w:spacing w:lineRule="auto" w:line="276" w:before="0" w:after="200"/>
      <w:jc w:val="left"/>
    </w:pPr>
    <w:rPr>
      <w:rFonts w:ascii="Calibri" w:hAnsi="Calibri" w:eastAsia="Times New Roman" w:cs="Calibri"/>
      <w:color w:val="auto"/>
      <w:kern w:val="2"/>
      <w:sz w:val="22"/>
      <w:szCs w:val="22"/>
      <w:lang w:val="en-US" w:eastAsia="zh-CN" w:bidi="ar-SA"/>
    </w:rPr>
  </w:style>
  <w:style w:type="paragraph" w:styleId="Tekstdymka">
    <w:name w:val="Tekst dymka"/>
    <w:basedOn w:val="Normal"/>
    <w:qFormat/>
    <w:pPr/>
    <w:rPr>
      <w:rFonts w:ascii="Tahoma" w:hAnsi="Tahoma" w:cs="Tahoma"/>
      <w:sz w:val="16"/>
      <w:szCs w:val="16"/>
    </w:rPr>
  </w:style>
  <w:style w:type="paragraph" w:styleId="Nagwek2Title2">
    <w:name w:val="Nagłówek 2.Title 2"/>
    <w:basedOn w:val="Normal"/>
    <w:qFormat/>
    <w:pPr>
      <w:tabs>
        <w:tab w:val="clear" w:pos="709"/>
        <w:tab w:val="left" w:pos="567" w:leader="none"/>
      </w:tabs>
      <w:ind w:left="567" w:right="0" w:hanging="567"/>
    </w:pPr>
    <w:rPr/>
  </w:style>
  <w:style w:type="paragraph" w:styleId="2">
    <w:name w:val="2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3">
    <w:name w:val="3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4">
    <w:name w:val="4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5">
    <w:name w:val="5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I1">
    <w:name w:val="I.1"/>
    <w:basedOn w:val="Nagwek2"/>
    <w:qFormat/>
    <w:pPr>
      <w:numPr>
        <w:ilvl w:val="0"/>
        <w:numId w:val="0"/>
      </w:numPr>
    </w:pPr>
    <w:rPr>
      <w:rFonts w:ascii="Arial" w:hAnsi="Arial" w:eastAsia="Times New Roman" w:cs="Times New Roman"/>
      <w:i w:val="false"/>
      <w:sz w:val="22"/>
      <w:szCs w:val="22"/>
      <w:lang w:val="pl-PL"/>
    </w:rPr>
  </w:style>
  <w:style w:type="paragraph" w:styleId="III1">
    <w:name w:val="III.1"/>
    <w:basedOn w:val="Nagwek2"/>
    <w:qFormat/>
    <w:pPr>
      <w:numPr>
        <w:ilvl w:val="0"/>
        <w:numId w:val="0"/>
      </w:numPr>
    </w:pPr>
    <w:rPr>
      <w:rFonts w:ascii="Arial" w:hAnsi="Arial" w:eastAsia="Times New Roman" w:cs="Times New Roman"/>
      <w:i w:val="false"/>
      <w:sz w:val="22"/>
      <w:szCs w:val="22"/>
      <w:lang w:val="pl-PL"/>
    </w:rPr>
  </w:style>
  <w:style w:type="paragraph" w:styleId="BBF1Stopie">
    <w:name w:val="BBF-1 Stopień"/>
    <w:basedOn w:val="Normal"/>
    <w:next w:val="Normal"/>
    <w:qFormat/>
    <w:pPr>
      <w:spacing w:before="0" w:after="120"/>
      <w:jc w:val="both"/>
    </w:pPr>
    <w:rPr>
      <w:rFonts w:ascii="Arial" w:hAnsi="Arial" w:cs="Arial"/>
      <w:b/>
      <w:sz w:val="24"/>
      <w:szCs w:val="24"/>
    </w:rPr>
  </w:style>
  <w:style w:type="paragraph" w:styleId="Nagwekwykazurde1">
    <w:name w:val="Nagłówek wykazu źródeł1"/>
    <w:basedOn w:val="Nagwek1"/>
    <w:next w:val="Normal"/>
    <w:qFormat/>
    <w:pPr>
      <w:keepLines/>
      <w:numPr>
        <w:ilvl w:val="0"/>
        <w:numId w:val="0"/>
      </w:numPr>
      <w:spacing w:lineRule="auto" w:line="252" w:before="240" w:after="0"/>
      <w:ind w:left="0" w:right="0" w:hanging="0"/>
    </w:pPr>
    <w:rPr>
      <w:b w:val="false"/>
      <w:bCs w:val="false"/>
      <w:color w:val="2F5496"/>
      <w:kern w:val="0"/>
    </w:rPr>
  </w:style>
  <w:style w:type="paragraph" w:styleId="Spistreci2">
    <w:name w:val="TOC 2"/>
    <w:basedOn w:val="Normal"/>
    <w:next w:val="Normal"/>
    <w:pPr>
      <w:spacing w:lineRule="auto" w:line="252" w:before="0" w:after="100"/>
      <w:ind w:left="220" w:right="0" w:hanging="0"/>
    </w:pPr>
    <w:rPr>
      <w:rFonts w:ascii="Calibri" w:hAnsi="Calibri" w:eastAsia="Times New Roman" w:cs="Calibri"/>
      <w:sz w:val="22"/>
      <w:szCs w:val="22"/>
    </w:rPr>
  </w:style>
  <w:style w:type="paragraph" w:styleId="Spistreci1">
    <w:name w:val="TOC 1"/>
    <w:basedOn w:val="Normal"/>
    <w:next w:val="Normal"/>
    <w:pPr>
      <w:spacing w:lineRule="auto" w:line="252" w:before="0" w:after="100"/>
    </w:pPr>
    <w:rPr>
      <w:rFonts w:ascii="Calibri" w:hAnsi="Calibri" w:eastAsia="Times New Roman" w:cs="Calibri"/>
      <w:sz w:val="22"/>
      <w:szCs w:val="22"/>
    </w:rPr>
  </w:style>
  <w:style w:type="paragraph" w:styleId="Spistreci3">
    <w:name w:val="TOC 3"/>
    <w:basedOn w:val="Normal"/>
    <w:next w:val="Normal"/>
    <w:pPr>
      <w:spacing w:lineRule="auto" w:line="252" w:before="0" w:after="100"/>
      <w:ind w:left="440" w:right="0" w:hanging="0"/>
    </w:pPr>
    <w:rPr>
      <w:rFonts w:ascii="Calibri" w:hAnsi="Calibri" w:eastAsia="Times New Roman" w:cs="Calibri"/>
      <w:sz w:val="22"/>
      <w:szCs w:val="22"/>
    </w:rPr>
  </w:style>
  <w:style w:type="paragraph" w:styleId="Zawartoramki">
    <w:name w:val="Zawartość ramki"/>
    <w:basedOn w:val="Normal"/>
    <w:qFormat/>
    <w:pPr/>
    <w:rPr/>
  </w:style>
  <w:style w:type="paragraph" w:styleId="Zawartotabeli">
    <w:name w:val="Zawartość tabeli"/>
    <w:basedOn w:val="Normal"/>
    <w:qFormat/>
    <w:pPr>
      <w:widowControl w:val="false"/>
      <w:suppressLineNumbers/>
      <w:bidi w:val="0"/>
      <w:jc w:val="left"/>
    </w:pPr>
    <w:rPr>
      <w:rFonts w:ascii="Liberation Serif" w:hAnsi="Liberation Serif" w:eastAsia="NSimSun" w:cs="Arial"/>
      <w:color w:val="auto"/>
      <w:kern w:val="0"/>
      <w:sz w:val="24"/>
      <w:szCs w:val="24"/>
      <w:lang w:val="pl-PL" w:eastAsia="zh-CN" w:bidi="hi-IN"/>
    </w:rPr>
  </w:style>
  <w:style w:type="paragraph" w:styleId="Nagwektabeli">
    <w:name w:val="Nagłówek tabeli"/>
    <w:basedOn w:val="Zawartotabeli"/>
    <w:qFormat/>
    <w:pPr>
      <w:suppressLineNumbers/>
      <w:jc w:val="center"/>
    </w:pPr>
    <w:rPr>
      <w:b/>
      <w:bCs/>
    </w:rPr>
  </w:style>
  <w:style w:type="paragraph" w:styleId="Standard">
    <w:name w:val="Standard"/>
    <w:qFormat/>
    <w:pPr>
      <w:widowControl/>
      <w:suppressAutoHyphens w:val="true"/>
      <w:bidi w:val="0"/>
      <w:spacing w:lineRule="auto" w:line="276" w:before="0" w:after="200"/>
      <w:jc w:val="left"/>
      <w:textAlignment w:val="baseline"/>
    </w:pPr>
    <w:rPr>
      <w:rFonts w:ascii="Calibri" w:hAnsi="Calibri" w:eastAsia="Calibri" w:cs="Calibri"/>
      <w:color w:val="auto"/>
      <w:kern w:val="2"/>
      <w:sz w:val="22"/>
      <w:szCs w:val="22"/>
      <w:lang w:val="pl-PL" w:eastAsia="zh-CN" w:bidi="ar-SA"/>
    </w:rPr>
  </w:style>
  <w:style w:type="paragraph" w:styleId="Textbody">
    <w:name w:val="Text body"/>
    <w:basedOn w:val="Standard"/>
    <w:qFormat/>
    <w:pPr>
      <w:spacing w:before="0" w:after="140"/>
    </w:pPr>
    <w:rPr>
      <w:rFonts w:ascii="Liberation Serif;Times New Roman" w:hAnsi="Liberation Serif;Times New Roman" w:eastAsia="NSimSun" w:cs="Arial"/>
      <w:sz w:val="24"/>
      <w:szCs w:val="24"/>
      <w:lang w:bidi="hi-IN"/>
    </w:rPr>
  </w:style>
  <w:style w:type="paragraph" w:styleId="Nagwekwykazurde2">
    <w:name w:val="Nagłówek wykazu źródeł2"/>
    <w:basedOn w:val="Nagwek1"/>
    <w:next w:val="Normal"/>
    <w:qFormat/>
    <w:pPr>
      <w:keepLines/>
      <w:numPr>
        <w:ilvl w:val="0"/>
        <w:numId w:val="0"/>
      </w:numPr>
      <w:suppressAutoHyphens w:val="false"/>
      <w:spacing w:lineRule="auto" w:line="252" w:before="240" w:after="0"/>
      <w:ind w:left="0" w:right="0" w:hanging="0"/>
    </w:pPr>
    <w:rPr>
      <w:rFonts w:ascii="Calibri Light" w:hAnsi="Calibri Light" w:eastAsia="Times New Roman" w:cs="Times New Roman"/>
      <w:b w:val="false"/>
      <w:bCs w:val="false"/>
      <w:color w:val="2F5496"/>
      <w:kern w:val="0"/>
    </w:rPr>
  </w:style>
  <w:style w:type="paragraph" w:styleId="Tekst">
    <w:name w:val="tekst"/>
    <w:basedOn w:val="Normal"/>
    <w:qFormat/>
    <w:pPr>
      <w:widowControl w:val="false"/>
      <w:suppressAutoHyphens w:val="true"/>
      <w:ind w:left="708" w:right="0" w:hanging="0"/>
      <w:jc w:val="both"/>
    </w:pPr>
    <w:rPr>
      <w:rFonts w:ascii="Arial" w:hAnsi="Arial" w:eastAsia="Arial" w:cs="Arial"/>
      <w:szCs w:val="20"/>
    </w:rPr>
  </w:style>
  <w:style w:type="paragraph" w:styleId="TOAHeading">
    <w:name w:val="TOA Heading"/>
    <w:basedOn w:val="Nagwek"/>
    <w:qFormat/>
    <w:pPr>
      <w:suppressLineNumbers/>
      <w:ind w:left="0" w:hanging="0"/>
    </w:pPr>
    <w:rPr>
      <w:b/>
      <w:bCs/>
      <w:sz w:val="32"/>
      <w:szCs w:val="32"/>
    </w:rPr>
  </w:style>
  <w:style w:type="numbering" w:styleId="WW8Num1">
    <w:name w:val="WW8Num1"/>
    <w:qFormat/>
  </w:style>
  <w:style w:type="numbering" w:styleId="WW8Num2">
    <w:name w:val="WW8Num2"/>
    <w:qFormat/>
  </w:style>
  <w:style w:type="numbering" w:styleId="WW8Num3">
    <w:name w:val="WW8Num3"/>
    <w:qFormat/>
  </w:style>
  <w:style w:type="numbering" w:styleId="WW8Num4">
    <w:name w:val="WW8Num4"/>
    <w:qFormat/>
  </w:style>
  <w:style w:type="numbering" w:styleId="WW8Num5">
    <w:name w:val="WW8Num5"/>
    <w:qFormat/>
  </w:style>
  <w:style w:type="numbering" w:styleId="WW8Num6">
    <w:name w:val="WW8Num6"/>
    <w:qFormat/>
  </w:style>
  <w:style w:type="numbering" w:styleId="WW8Num7">
    <w:name w:val="WW8Num7"/>
    <w:qFormat/>
  </w:style>
  <w:style w:type="numbering" w:styleId="WW8Num8">
    <w:name w:val="WW8Num8"/>
    <w:qFormat/>
  </w:style>
  <w:style w:type="numbering" w:styleId="WW8Num9">
    <w:name w:val="WW8Num9"/>
    <w:qFormat/>
  </w:style>
  <w:style w:type="numbering" w:styleId="WW8Num10">
    <w:name w:val="WW8Num10"/>
    <w:qFormat/>
  </w:style>
  <w:style w:type="numbering" w:styleId="WW8Num11">
    <w:name w:val="WW8Num11"/>
    <w:qFormat/>
  </w:style>
  <w:style w:type="numbering" w:styleId="WW8Num12">
    <w:name w:val="WW8Num12"/>
    <w:qFormat/>
  </w:style>
  <w:style w:type="numbering" w:styleId="WW8Num13">
    <w:name w:val="WW8Num13"/>
    <w:qFormat/>
  </w:style>
  <w:style w:type="numbering" w:styleId="WW8Num14">
    <w:name w:val="WW8Num14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numbering" Target="numbering.xml"/><Relationship Id="rId8" Type="http://schemas.openxmlformats.org/officeDocument/2006/relationships/fontTable" Target="fontTable.xml"/><Relationship Id="rId9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Normal_x005F_x005F_x005F_x005F_x005F_x005F_x005F_x005F_x005F_x005F_x005F_x005F_x005F_x005F_x005F_x005F_x005F_x005F_x005F_x005F_x005F_x005F_x005F_x005F_x005F_x005F_x0000_</Template>
  <TotalTime>714</TotalTime>
  <Application>LibreOffice/6.1.2.1$Windows_X86_64 LibreOffice_project/65905a128db06ba48db947242809d14d3f9a93fe</Application>
  <Pages>18</Pages>
  <Words>2225</Words>
  <Characters>16067</Characters>
  <CharactersWithSpaces>18174</CharactersWithSpaces>
  <Paragraphs>181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2021-06-29T12:44:00Z</dcterms:created>
  <dc:creator>S.Kobylarz</dc:creator>
  <dc:description/>
  <dc:language>pl-PL</dc:language>
  <cp:lastModifiedBy/>
  <cp:lastPrinted>2023-01-25T05:50:00Z</cp:lastPrinted>
  <dcterms:modified xsi:type="dcterms:W3CDTF">2023-05-04T11:40:07Z</dcterms:modified>
  <cp:revision>197</cp:revision>
  <dc:subject/>
  <dc:title>Projekt Budowlany</dc:title>
</cp:coreProperties>
</file>