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rPr>
          <w:rFonts w:ascii="Times New Roman" w:hAnsi="Times New Roman" w:cs="Times New Roman"/>
          <w:b w:val="false"/>
          <w:b w:val="false"/>
          <w:bCs w:val="false"/>
          <w:sz w:val="24"/>
          <w:szCs w:val="24"/>
        </w:rPr>
      </w:pPr>
      <w:r>
        <w:rPr>
          <w:rFonts w:cs="Times New Roman"/>
          <w:b w:val="false"/>
          <w:bCs w:val="false"/>
          <w:sz w:val="24"/>
          <w:szCs w:val="24"/>
        </w:rPr>
      </w:r>
    </w:p>
    <w:p>
      <w:pPr>
        <w:pStyle w:val="Normal"/>
        <w:spacing w:lineRule="auto" w:line="360"/>
        <w:ind w:left="708" w:right="0" w:hanging="0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  <w:t>OŚWIADCZENIE</w:t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/>
      </w:pPr>
      <w:r>
        <w:rPr>
          <w:i/>
          <w:sz w:val="22"/>
          <w:szCs w:val="22"/>
        </w:rPr>
        <w:t xml:space="preserve">Na podstawie art. 34 </w:t>
      </w:r>
      <w:r>
        <w:rPr>
          <w:i/>
          <w:iCs/>
          <w:sz w:val="22"/>
          <w:szCs w:val="22"/>
        </w:rPr>
        <w:t>Ustawy z dnia 7 lipca 1994 r. Prawo budowlane</w:t>
      </w:r>
      <w:r>
        <w:rPr>
          <w:i/>
          <w:sz w:val="22"/>
          <w:szCs w:val="22"/>
        </w:rPr>
        <w:t xml:space="preserve"> z późniejszymi zmianami</w:t>
      </w:r>
      <w:r>
        <w:rPr>
          <w:i/>
          <w:lang w:val="pl-PL" w:eastAsia="pl-PL"/>
        </w:rPr>
        <w:t xml:space="preserve"> </w:t>
      </w:r>
      <w:r>
        <w:rPr>
          <w:i/>
          <w:sz w:val="22"/>
          <w:szCs w:val="22"/>
        </w:rPr>
        <w:t>oświadczam, iż niniejsza dokumentacja projektowa została sporządzona zgodnie z obowiązującymi przepisami oraz zasadami wiedzy technicznej, jest w swoim zakresie kompletna oraz spełnia wymagania dla celu, któremu ma służyć.</w:t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0" w:right="0" w:firstLine="708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spacing w:lineRule="auto" w:line="360"/>
        <w:ind w:left="7080" w:right="0" w:hanging="0"/>
        <w:jc w:val="both"/>
        <w:rPr/>
      </w:pP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Kwiecień</w:t>
      </w:r>
      <w:r>
        <w:rPr>
          <w:i/>
          <w:sz w:val="22"/>
          <w:szCs w:val="22"/>
        </w:rPr>
        <w:t>, 202</w:t>
      </w:r>
      <w:r>
        <w:rPr>
          <w:rFonts w:eastAsia="Times New Roman" w:cs="Times New Roman"/>
          <w:i/>
          <w:color w:val="auto"/>
          <w:kern w:val="2"/>
          <w:sz w:val="22"/>
          <w:szCs w:val="22"/>
          <w:lang w:val="pl-PL" w:eastAsia="zh-CN" w:bidi="ar-SA"/>
        </w:rPr>
        <w:t>3</w:t>
      </w:r>
      <w:r>
        <w:rPr>
          <w:i/>
          <w:sz w:val="22"/>
          <w:szCs w:val="22"/>
        </w:rPr>
        <w:t xml:space="preserve"> r.</w:t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Normal"/>
        <w:jc w:val="center"/>
        <w:rPr>
          <w:i/>
          <w:i/>
          <w:sz w:val="28"/>
          <w:szCs w:val="28"/>
          <w:lang w:val="pl-PL" w:eastAsia="pl-PL"/>
        </w:rPr>
      </w:pPr>
      <w:r>
        <w:rPr>
          <w:i/>
          <w:sz w:val="28"/>
          <w:szCs w:val="28"/>
          <w:lang w:val="pl-PL" w:eastAsia="pl-PL"/>
        </w:rPr>
      </w:r>
    </w:p>
    <w:p>
      <w:pPr>
        <w:pStyle w:val="TOAHeading"/>
        <w:jc w:val="center"/>
        <w:rPr/>
      </w:pPr>
      <w:r>
        <w:rPr>
          <w:sz w:val="24"/>
          <w:szCs w:val="24"/>
        </w:rPr>
        <w:t>Spis treści</w:t>
      </w:r>
    </w:p>
    <w:p>
      <w:pPr>
        <w:pStyle w:val="Spistreci1"/>
        <w:tabs>
          <w:tab w:val="clear" w:pos="709"/>
          <w:tab w:val="right" w:pos="9483" w:leader="dot"/>
        </w:tabs>
        <w:rPr/>
      </w:pPr>
      <w:r>
        <w:fldChar w:fldCharType="begin"/>
      </w:r>
      <w:r>
        <w:rPr>
          <w:rStyle w:val="Czeindeksu"/>
        </w:rPr>
        <w:instrText> TOC \f \o "1-9" \h</w:instrText>
      </w:r>
      <w:r>
        <w:rPr>
          <w:rStyle w:val="Czeindeksu"/>
        </w:rPr>
        <w:fldChar w:fldCharType="separate"/>
      </w:r>
      <w:hyperlink w:anchor="__RefHeading___Toc413_2367410010">
        <w:r>
          <w:rPr>
            <w:rStyle w:val="Czeindeksu"/>
          </w:rPr>
          <w:t>PROJEKT ZAGOSPODAROWANIA TERENU</w:t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8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>PRZEDMIOT INWESTYCJI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09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>INWESTOR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0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PODSTAWA OPRACOWANIA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1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>ISTNIEJĄCY STAN ZAGOSPODAROWANIA DZIAŁKI</w:t>
        </w:r>
        <w:r>
          <w:rPr>
            <w:rStyle w:val="Czeindeksu"/>
          </w:rPr>
          <w:tab/>
          <w:t>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2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>PROJEKTOWANE ZAGOSPODAROWANIE DZIAŁKI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3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>DANE INFORMUJĄCE O WPISIE TERENU DO REJESTRU ZABYTKÓW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4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>DANE OKREŚLAJĄCE WPŁYW EKSPLOATACJI GÓRNICZEJ NA TEREN OBJĘTY INWESTYCJĄ</w:t>
        </w:r>
        <w:r>
          <w:rPr>
            <w:rStyle w:val="Czeindeksu"/>
          </w:rPr>
          <w:tab/>
          <w:t>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5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>INFORMACJA O CHARAKTERZE I CECHACH ISTNIEJĄCYCH I PRZEWIDYWANYCH ZAGROŻEŃ DLA ŚRODOWISKA ORAZ HIGIENY I ZDROWIA UŻYTKOWNIKÓW</w:t>
        </w:r>
        <w:r>
          <w:rPr>
            <w:rStyle w:val="Czeindeksu"/>
          </w:rPr>
          <w:tab/>
          <w:t>9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16">
        <w:r>
          <w:rPr>
            <w:rStyle w:val="Czeindeksu"/>
          </w:rPr>
          <w:t xml:space="preserve">9. </w:t>
        </w:r>
        <w:r>
          <w:rPr>
            <w:rStyle w:val="Czeindeksu"/>
            <w:i w:val="false"/>
            <w:iCs w:val="false"/>
          </w:rPr>
          <w:t>UWAGI KOŃCOWE</w:t>
        </w:r>
        <w:r>
          <w:rPr>
            <w:rStyle w:val="Czeindeksu"/>
          </w:rPr>
          <w:tab/>
          <w:t>9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7">
        <w:r>
          <w:rPr>
            <w:rStyle w:val="Czeindeksu"/>
          </w:rPr>
          <w:t xml:space="preserve"> </w:t>
        </w:r>
        <w:r>
          <w:rPr>
            <w:rStyle w:val="Czeindeksu"/>
          </w:rPr>
          <w:t>ZAGOSPODAROWANIA TERENU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18">
        <w:r>
          <w:rPr>
            <w:rStyle w:val="Czeindeksu"/>
          </w:rPr>
          <w:t>CZĘŚĆ RYSUNKOWA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0_1339427135">
        <w:r>
          <w:rPr>
            <w:rStyle w:val="Czeindeksu"/>
          </w:rPr>
          <w:t>1. Plan orientacyjny (rys. nr 1).</w:t>
          <w:tab/>
          <w:t>10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2_1339427135">
        <w:r>
          <w:rPr>
            <w:rStyle w:val="Czeindeksu"/>
          </w:rPr>
          <w:t>2. Plan sytuacyjny (rys. nr 2).</w:t>
          <w:tab/>
          <w:t>10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5_2367410010">
        <w:r>
          <w:rPr>
            <w:rStyle w:val="Czeindeksu"/>
          </w:rPr>
          <w:t xml:space="preserve"> </w:t>
        </w:r>
        <w:r>
          <w:rPr>
            <w:rStyle w:val="Czeindeksu"/>
          </w:rPr>
          <w:t>INFORMACJA DOTYCZĄCA PLANU BEZPIECZEŃSTWA I OCHRONY ZDROWIA</w:t>
          <w:tab/>
          <w:t>13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417_2367410010">
        <w:r>
          <w:rPr>
            <w:rStyle w:val="Czeindeksu"/>
          </w:rPr>
          <w:t>PROJEKT ARCHITEKTONICZNO-BUDOWLANY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19_2367410010">
        <w:r>
          <w:rPr>
            <w:rStyle w:val="Czeindeksu"/>
          </w:rPr>
          <w:t xml:space="preserve">1. </w:t>
        </w:r>
        <w:r>
          <w:rPr>
            <w:rStyle w:val="Czeindeksu"/>
            <w:i w:val="false"/>
            <w:iCs w:val="false"/>
          </w:rPr>
          <w:t xml:space="preserve"> PRZEZNACZENIE I PROGRAM UŻYTKOWY OBIEKTU</w:t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2">
        <w:r>
          <w:rPr>
            <w:rStyle w:val="Czeindeksu"/>
          </w:rPr>
          <w:t xml:space="preserve">2. </w:t>
        </w:r>
        <w:r>
          <w:rPr>
            <w:rStyle w:val="Czeindeksu"/>
            <w:i w:val="false"/>
            <w:iCs w:val="false"/>
          </w:rPr>
          <w:t xml:space="preserve"> FORMA ARCHITEKTONICZNA I FUNKCJA OBIEKTU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1786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 xml:space="preserve"> UKŁAD KONSTRUKCYJNY PRZEBUDOWYWANYCH OBIEKTÓW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4">
        <w:r>
          <w:rPr>
            <w:rStyle w:val="Czeindeksu"/>
            <w:i w:val="false"/>
            <w:iCs w:val="false"/>
          </w:rPr>
          <w:t>ROZWIĄZANIA BUDOWLANE I TECHNICZNO-INSTALACYJNE ORAZ ROZWIĄZANIA TECHNICZNO-BUDOWLANE W MIEJSCACH CHARAKTERYSTYCZNYCH.</w:t>
        </w:r>
        <w:r>
          <w:rPr>
            <w:rStyle w:val="Czeindeksu"/>
          </w:rPr>
          <w:tab/>
          <w:t>15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5">
        <w:r>
          <w:rPr>
            <w:rStyle w:val="Czeindeksu"/>
          </w:rPr>
          <w:t xml:space="preserve">4. </w:t>
        </w:r>
        <w:r>
          <w:rPr>
            <w:rStyle w:val="Czeindeksu"/>
            <w:i w:val="false"/>
            <w:iCs w:val="false"/>
          </w:rPr>
          <w:t xml:space="preserve"> ROZWIĄZANIA ZASADNICZYCH ELEMENTÓW WYPOSAŻENIA BUDOWLANO-INSTALACYJNEGO.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6">
        <w:r>
          <w:rPr>
            <w:rStyle w:val="Czeindeksu"/>
          </w:rPr>
          <w:t xml:space="preserve">5. </w:t>
        </w:r>
        <w:r>
          <w:rPr>
            <w:rStyle w:val="Czeindeksu"/>
            <w:i w:val="false"/>
            <w:iCs w:val="false"/>
          </w:rPr>
          <w:t xml:space="preserve"> ROZWIĄZANIA I SPOSÓB FUNKCJONOWANIA ZASADNICZYCH URZĄDZEŃ INSTALACJI TECHNICZNYCH.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7">
        <w:r>
          <w:rPr>
            <w:rStyle w:val="Czeindeksu"/>
          </w:rPr>
          <w:t xml:space="preserve">6. </w:t>
        </w:r>
        <w:r>
          <w:rPr>
            <w:rStyle w:val="Czeindeksu"/>
            <w:i w:val="false"/>
            <w:iCs w:val="false"/>
          </w:rPr>
          <w:t xml:space="preserve"> DANE TECHNICZNE OBIEKTU CHARAKTERYZUJĄCE JEGO WPŁYW NA ŚRODOWISKO, ZDROWIE LUDZI I OBIEKTY SĄSIEDNIE.</w:t>
        </w:r>
        <w:r>
          <w:rPr>
            <w:rStyle w:val="Czeindeksu"/>
          </w:rPr>
          <w:tab/>
          <w:t>16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75861328">
        <w:r>
          <w:rPr>
            <w:rStyle w:val="Czeindeksu"/>
          </w:rPr>
          <w:t xml:space="preserve">7. </w:t>
        </w:r>
        <w:r>
          <w:rPr>
            <w:rStyle w:val="Czeindeksu"/>
            <w:i w:val="false"/>
            <w:iCs w:val="false"/>
          </w:rPr>
          <w:t xml:space="preserve"> WARUNKI OCHRONY PRZECIWPOŻAROWEJ.</w:t>
        </w:r>
        <w:r>
          <w:rPr>
            <w:rStyle w:val="Czeindeksu"/>
          </w:rPr>
          <w:tab/>
          <w:t>17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421_2367410010">
        <w:r>
          <w:rPr>
            <w:rStyle w:val="Czeindeksu"/>
          </w:rPr>
          <w:t xml:space="preserve">8. </w:t>
        </w:r>
        <w:r>
          <w:rPr>
            <w:rStyle w:val="Czeindeksu"/>
            <w:i w:val="false"/>
            <w:iCs w:val="false"/>
          </w:rPr>
          <w:t xml:space="preserve"> UWAGI OGÓLNE.</w:t>
        </w:r>
        <w:r>
          <w:rPr>
            <w:rStyle w:val="Czeindeksu"/>
          </w:rPr>
          <w:tab/>
          <w:t>17</w:t>
        </w:r>
      </w:hyperlink>
    </w:p>
    <w:p>
      <w:pPr>
        <w:pStyle w:val="Spistreci1"/>
        <w:tabs>
          <w:tab w:val="clear" w:pos="709"/>
          <w:tab w:val="right" w:pos="9483" w:leader="dot"/>
        </w:tabs>
        <w:rPr/>
      </w:pPr>
      <w:hyperlink w:anchor="__RefHeading___Toc75861330">
        <w:r>
          <w:rPr>
            <w:rStyle w:val="Czeindeksu"/>
          </w:rPr>
          <w:t>CZĘŚĆ RYSUNKOWA</w:t>
          <w:tab/>
          <w:t>18</w:t>
        </w:r>
      </w:hyperlink>
    </w:p>
    <w:p>
      <w:pPr>
        <w:pStyle w:val="Spistreci2"/>
        <w:tabs>
          <w:tab w:val="clear" w:pos="709"/>
          <w:tab w:val="right" w:pos="9483" w:leader="dot"/>
        </w:tabs>
        <w:rPr/>
      </w:pPr>
      <w:hyperlink w:anchor="__RefHeading___Toc3224_1339427135">
        <w:r>
          <w:rPr>
            <w:rStyle w:val="Czeindeksu"/>
          </w:rPr>
          <w:t xml:space="preserve">3. </w:t>
        </w:r>
        <w:r>
          <w:rPr>
            <w:rStyle w:val="Czeindeksu"/>
            <w:i w:val="false"/>
            <w:iCs w:val="false"/>
          </w:rPr>
          <w:t>Szczegóły konstrukcyjne (rys. nr 3).</w:t>
        </w:r>
        <w:r>
          <w:rPr>
            <w:rStyle w:val="Czeindeksu"/>
          </w:rPr>
          <w:tab/>
          <w:t>18</w:t>
        </w:r>
      </w:hyperlink>
      <w:r>
        <w:rPr>
          <w:rStyle w:val="Czeindeksu"/>
        </w:rPr>
        <w:fldChar w:fldCharType="end"/>
      </w:r>
    </w:p>
    <w:p>
      <w:pPr>
        <w:pStyle w:val="Normal"/>
        <w:rPr/>
      </w:pPr>
      <w:r>
        <w:rPr/>
      </w:r>
    </w:p>
    <w:p>
      <w:pPr>
        <w:pStyle w:val="Normal"/>
        <w:jc w:val="center"/>
        <w:rPr/>
      </w:pPr>
      <w:r>
        <w:rPr/>
        <w:drawing>
          <wp:inline distT="0" distB="0" distL="0" distR="0">
            <wp:extent cx="6065520" cy="7248525"/>
            <wp:effectExtent l="0" t="0" r="0" b="0"/>
            <wp:docPr id="1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304" t="-208" r="-304" b="8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724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/>
      </w:pPr>
      <w:r>
        <w:rPr/>
      </w:r>
    </w:p>
    <w:p>
      <w:pPr>
        <w:pStyle w:val="Normal"/>
        <w:jc w:val="center"/>
        <w:rPr>
          <w:sz w:val="28"/>
          <w:szCs w:val="28"/>
        </w:rPr>
      </w:pPr>
      <w:r>
        <w:rPr/>
        <w:drawing>
          <wp:inline distT="0" distB="0" distL="0" distR="0">
            <wp:extent cx="6065520" cy="8539480"/>
            <wp:effectExtent l="0" t="0" r="0" b="0"/>
            <wp:docPr id="2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rcRect l="-304" t="-215" r="-304" b="-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520" cy="853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jc w:val="center"/>
        <w:rPr>
          <w:b/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posOffset>151765</wp:posOffset>
            </wp:positionH>
            <wp:positionV relativeFrom="paragraph">
              <wp:posOffset>196215</wp:posOffset>
            </wp:positionV>
            <wp:extent cx="5791835" cy="8454390"/>
            <wp:effectExtent l="0" t="0" r="0" b="0"/>
            <wp:wrapSquare wrapText="largest"/>
            <wp:docPr id="3" name="Obraz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1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1835" cy="8454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rPr/>
      </w:pPr>
      <w:bookmarkStart w:id="0" w:name="__RefHeading___Toc413_2367410010"/>
      <w:bookmarkEnd w:id="0"/>
      <w:r>
        <w:rPr>
          <w:rStyle w:val="Mocnowyrniony"/>
          <w:rFonts w:cs="Times New Roman" w:ascii="Times New Roman" w:hAnsi="Times New Roman"/>
          <w:sz w:val="24"/>
          <w:szCs w:val="24"/>
        </w:rPr>
        <w:t>PROJEKT ZAGOSPODAROWANIA TERENU</w:t>
      </w:r>
    </w:p>
    <w:p>
      <w:pPr>
        <w:pStyle w:val="Normal"/>
        <w:rPr/>
      </w:pPr>
      <w:r>
        <w:rPr/>
      </w:r>
    </w:p>
    <w:p>
      <w:pPr>
        <w:pStyle w:val="Normal"/>
        <w:spacing w:lineRule="exact" w:line="280"/>
        <w:jc w:val="center"/>
        <w:rPr/>
      </w:pPr>
      <w:r>
        <w:rPr>
          <w:b/>
          <w:bCs/>
          <w:sz w:val="28"/>
          <w:szCs w:val="28"/>
        </w:rPr>
        <w:t xml:space="preserve"> </w:t>
      </w:r>
    </w:p>
    <w:p>
      <w:pPr>
        <w:pStyle w:val="Normal"/>
        <w:spacing w:lineRule="exact" w:line="280"/>
        <w:jc w:val="center"/>
        <w:rPr/>
      </w:pPr>
      <w:r>
        <w:rPr>
          <w:b/>
          <w:bCs/>
          <w:sz w:val="24"/>
          <w:szCs w:val="24"/>
        </w:rPr>
        <w:t>CZĘŚĆ OPISOWA</w:t>
      </w:r>
    </w:p>
    <w:p>
      <w:pPr>
        <w:pStyle w:val="Normal"/>
        <w:spacing w:lineRule="exact" w:line="280"/>
        <w:jc w:val="center"/>
        <w:rPr/>
      </w:pPr>
      <w:r>
        <w:rPr/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1" w:name="__RefHeading___Toc75861308"/>
      <w:bookmarkEnd w:id="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PRZEDMIOT INWESTYCJI</w:t>
      </w:r>
    </w:p>
    <w:p>
      <w:pPr>
        <w:pStyle w:val="Akapitzlist"/>
        <w:spacing w:lineRule="exact" w:line="280"/>
        <w:ind w:left="0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uppressAutoHyphens w:val="false"/>
        <w:jc w:val="both"/>
        <w:rPr/>
      </w:pPr>
      <w:r>
        <w:rPr>
          <w:kern w:val="0"/>
          <w:sz w:val="24"/>
          <w:szCs w:val="24"/>
          <w:lang w:eastAsia="pl-PL"/>
        </w:rPr>
        <w:t xml:space="preserve">Przedmiotem opracowania jest uproszczona dokumentacja budowlano-wykonawcza na potrzeby inwestycji pn. 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,</w:t>
      </w:r>
      <w:r>
        <w:rPr>
          <w:rStyle w:val="Domylnaczcionkaakapitu"/>
          <w:rFonts w:eastAsia="Calibri" w:cs="Arial"/>
          <w:b w:val="false"/>
          <w:bCs w:val="false"/>
          <w:i/>
          <w:iCs/>
          <w:color w:val="000000"/>
          <w:kern w:val="0"/>
          <w:sz w:val="24"/>
          <w:szCs w:val="24"/>
          <w:lang w:val="pl-PL" w:eastAsia="pl-PL" w:bidi="ar-SA"/>
        </w:rPr>
        <w:t>,Opracowanie dokumentacji projektowych zwiększających dostępność osobom ze szczególnymi potrzebami w pasach drogowych ulic, których zarządcą jest Gmina Ostrowiec Świętokrzyski’’</w:t>
      </w:r>
      <w:r>
        <w:rPr>
          <w:rStyle w:val="Domylnaczcionkaakapitu"/>
          <w:rFonts w:eastAsia="Calibri" w:cs="Arial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  - skrzyżowanie ulic: </w:t>
      </w:r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 xml:space="preserve">M.Dąbrowskiej </w:t>
      </w:r>
      <w:r>
        <w:rPr>
          <w:rStyle w:val="Domylnaczcionkaakapitu"/>
          <w:rFonts w:eastAsia="Calibri" w:cs="Times New Roman"/>
          <w:b w:val="false"/>
          <w:bCs w:val="false"/>
          <w:i w:val="false"/>
          <w:iCs w:val="false"/>
          <w:color w:val="000000"/>
          <w:kern w:val="0"/>
          <w:sz w:val="24"/>
          <w:szCs w:val="24"/>
          <w:lang w:val="pl-PL" w:eastAsia="pl-PL" w:bidi="ar-SA"/>
        </w:rPr>
        <w:t>i M.Konopnickiej.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>
          <w:kern w:val="0"/>
          <w:sz w:val="24"/>
          <w:szCs w:val="24"/>
          <w:lang w:eastAsia="pl-PL"/>
        </w:rPr>
      </w:pPr>
      <w:r>
        <w:rPr>
          <w:kern w:val="0"/>
          <w:sz w:val="24"/>
          <w:szCs w:val="24"/>
          <w:lang w:eastAsia="pl-PL"/>
        </w:rPr>
        <w:t xml:space="preserve">Zakres w/w inwestycji ogranicza się do wykonania przebudowy istniejącej infrastruktury pieszej (chodników i przejść dla pieszych) w obrębie skrzyżowania ulic Konopnickiej/Dąbrowskiej. </w:t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Normal"/>
        <w:suppressAutoHyphens w:val="false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Lokalizacja inwestycji:</w:t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Times New Roman" w:cs="Times New Roman" w:ascii="Times New Roman" w:hAnsi="Times New Roman"/>
          <w:sz w:val="24"/>
          <w:szCs w:val="24"/>
        </w:rPr>
        <w:t xml:space="preserve">Pas drogowy – działki nr ewidencyjny:  </w:t>
      </w:r>
      <w:r>
        <w:rPr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>11.3-65</w:t>
      </w:r>
      <w:r>
        <w:rPr>
          <w:rFonts w:eastAsia="Times New Roman" w:cs="Times New Roman" w:ascii="Times New Roman" w:hAnsi="Times New Roman"/>
          <w:sz w:val="24"/>
          <w:szCs w:val="24"/>
        </w:rPr>
        <w:t xml:space="preserve">, 11.2-90, 11.3-75/237, 11.2-82   </w:t>
        <w:br/>
        <w:t>woj. świętokrzyskie, powiat ostrowiecki, gmina Ostrowiec Świętokrzyski.</w:t>
        <w:br/>
      </w:r>
    </w:p>
    <w:p>
      <w:pPr>
        <w:pStyle w:val="Standard"/>
        <w:tabs>
          <w:tab w:val="clear" w:pos="709"/>
          <w:tab w:val="left" w:pos="426" w:leader="none"/>
        </w:tabs>
        <w:bidi w:val="0"/>
        <w:spacing w:lineRule="auto" w:line="240" w:before="0" w:after="0"/>
        <w:ind w:left="0" w:right="210" w:hanging="0"/>
        <w:jc w:val="left"/>
        <w:rPr/>
      </w:pPr>
      <w:r>
        <w:rPr>
          <w:rFonts w:eastAsia="Arial" w:cs="Times New Roman" w:ascii="Times New Roman" w:hAnsi="Times New Roman"/>
          <w:sz w:val="24"/>
          <w:szCs w:val="24"/>
        </w:rPr>
        <w:t>Lokalizacja przedmiotowej inwestycji przedstawiona została na rysunku nr 1 pn. „Plan orientacyjny”.</w:t>
      </w:r>
    </w:p>
    <w:p>
      <w:pPr>
        <w:pStyle w:val="Akapitzlist"/>
        <w:spacing w:lineRule="exact" w:line="280"/>
        <w:ind w:left="284" w:right="0" w:hanging="0"/>
        <w:rPr>
          <w:rFonts w:eastAsia="Arial"/>
          <w:sz w:val="24"/>
          <w:szCs w:val="24"/>
        </w:rPr>
      </w:pPr>
      <w:r>
        <w:rPr>
          <w:rFonts w:eastAsia="Arial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2" w:name="__RefHeading___Toc75861309"/>
      <w:bookmarkEnd w:id="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INWESTOR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Normal"/>
        <w:spacing w:lineRule="exact" w:line="280"/>
        <w:ind w:right="0" w:hanging="0"/>
        <w:rPr>
          <w:b/>
          <w:b/>
          <w:bCs/>
          <w:color w:val="000000"/>
          <w:sz w:val="24"/>
          <w:szCs w:val="24"/>
        </w:rPr>
      </w:pPr>
      <w:r>
        <w:rPr>
          <w:b/>
          <w:bCs/>
          <w:color w:val="000000"/>
          <w:sz w:val="24"/>
          <w:szCs w:val="24"/>
        </w:rPr>
        <w:t>Urząd Miasta Ostrowiec Świętokrzyski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ul. J. Głogowskiego 3/5, </w:t>
      </w:r>
    </w:p>
    <w:p>
      <w:pPr>
        <w:pStyle w:val="Normal"/>
        <w:spacing w:lineRule="exact" w:line="280"/>
        <w:ind w:right="0" w:hanging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27-400 Ostrowiec Świętokrzyski</w:t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 xml:space="preserve">   </w:t>
      </w:r>
    </w:p>
    <w:p>
      <w:pPr>
        <w:pStyle w:val="Nagwek2"/>
        <w:numPr>
          <w:ilvl w:val="1"/>
          <w:numId w:val="4"/>
        </w:numPr>
        <w:rPr>
          <w:i w:val="false"/>
          <w:i w:val="false"/>
          <w:iCs w:val="false"/>
          <w:sz w:val="22"/>
          <w:szCs w:val="22"/>
        </w:rPr>
      </w:pPr>
      <w:bookmarkStart w:id="3" w:name="__RefHeading___Toc75861310"/>
      <w:bookmarkEnd w:id="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PODSTAWA OPRACOWANIA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  <w:t>Podstawą opracowania jest:</w:t>
      </w:r>
    </w:p>
    <w:p>
      <w:pPr>
        <w:pStyle w:val="Akapitzlist"/>
        <w:numPr>
          <w:ilvl w:val="0"/>
          <w:numId w:val="6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Umowa z Inwestorem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Rozporządzenie Ministra Infrastruktury z dnia 24 czerwca 2022r w sprawie przepisów techniczno-budowlanych dotyczących dróg publicznych</w:t>
      </w:r>
    </w:p>
    <w:p>
      <w:pPr>
        <w:pStyle w:val="Akapitzlist"/>
        <w:numPr>
          <w:ilvl w:val="0"/>
          <w:numId w:val="7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Mapa mapa zasadnicza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Inwentaryzacja własna w terenie</w:t>
      </w:r>
    </w:p>
    <w:p>
      <w:pPr>
        <w:pStyle w:val="Akapitzlist"/>
        <w:numPr>
          <w:ilvl w:val="0"/>
          <w:numId w:val="8"/>
        </w:numPr>
        <w:tabs>
          <w:tab w:val="clear" w:pos="709"/>
          <w:tab w:val="left" w:pos="510" w:leader="none"/>
        </w:tabs>
        <w:spacing w:lineRule="exact" w:line="280"/>
        <w:ind w:left="284" w:right="0" w:hanging="0"/>
        <w:jc w:val="both"/>
        <w:rPr/>
      </w:pPr>
      <w:r>
        <w:rPr>
          <w:sz w:val="24"/>
          <w:szCs w:val="24"/>
        </w:rPr>
        <w:t>Pozostałe związane akty prawne, normatywy, wytyczne.</w:t>
      </w:r>
    </w:p>
    <w:p>
      <w:pPr>
        <w:pStyle w:val="Akapitzlist"/>
        <w:numPr>
          <w:ilvl w:val="0"/>
          <w:numId w:val="0"/>
        </w:numPr>
        <w:tabs>
          <w:tab w:val="clear" w:pos="709"/>
          <w:tab w:val="left" w:pos="510" w:leader="none"/>
        </w:tabs>
        <w:spacing w:lineRule="exact" w:line="280"/>
        <w:ind w:left="1717" w:right="0" w:hanging="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Akapitzlist"/>
        <w:spacing w:lineRule="exact" w:line="280"/>
        <w:ind w:left="284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4" w:name="__RefHeading___Toc75861311"/>
      <w:bookmarkEnd w:id="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ISTNIEJĄCY STAN ZAGOSPODAROWANIA DZIAŁKI</w:t>
      </w:r>
    </w:p>
    <w:p>
      <w:pPr>
        <w:pStyle w:val="Akapitzlist"/>
        <w:spacing w:lineRule="exact" w:line="280"/>
        <w:ind w:left="284" w:right="0" w:hanging="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 xml:space="preserve">Przedmiotowe skrzyżowanie zlokalizowane jest na działkach nr ew. </w:t>
      </w:r>
      <w:r>
        <w:rPr>
          <w:rFonts w:eastAsia="Times New Roman" w:cs="Times New Roman" w:ascii="Times New Roman" w:hAnsi="Times New Roman"/>
          <w:color w:val="auto"/>
          <w:kern w:val="2"/>
          <w:sz w:val="24"/>
          <w:szCs w:val="24"/>
          <w:lang w:val="pl-PL" w:eastAsia="zh-CN" w:bidi="ar-SA"/>
        </w:rPr>
        <w:t xml:space="preserve">11.3-65, 11.2-90, </w:t>
        <w:br/>
        <w:t>11.3-75/237, 11.2-82</w:t>
      </w:r>
      <w:r>
        <w:rPr>
          <w:rFonts w:cs="Times New Roman" w:ascii="Times New Roman" w:hAnsi="Times New Roman"/>
          <w:sz w:val="24"/>
          <w:szCs w:val="24"/>
        </w:rPr>
        <w:t>, które stanowią własność Inwestora.</w:t>
      </w:r>
    </w:p>
    <w:p>
      <w:pPr>
        <w:pStyle w:val="Standard"/>
        <w:bidi w:val="0"/>
        <w:spacing w:lineRule="exact" w:line="30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cs="Times New Roman" w:ascii="Times New Roman" w:hAnsi="Times New Roman"/>
          <w:b/>
          <w:sz w:val="24"/>
          <w:szCs w:val="24"/>
        </w:rPr>
        <w:t>Parametry techniczne istniejącej drogi: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W stanie istniejącym, ulice M.Dąbrowskiej oraz M.Konopnickiej posiadają przekrój uliczny </w:t>
        <w:br/>
        <w:t>z jezdniami bitumicznymi wydzielonymi krawężnikami oraz chodniki z kostki betonowej.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Na każdym z kierunków funkcjonują istniejące przejścia dla pieszych. </w:t>
        <w:br/>
        <w:t xml:space="preserve">W rejonie przejść dla pieszych nie wszystkie krawężniki posiadają odpowiednie zaniżenie, </w:t>
        <w:br/>
        <w:t xml:space="preserve">co zostaje skorygowane niniejszym opracowaniem. </w:t>
      </w:r>
    </w:p>
    <w:p>
      <w:pPr>
        <w:pStyle w:val="Standard"/>
        <w:widowControl/>
        <w:numPr>
          <w:ilvl w:val="0"/>
          <w:numId w:val="0"/>
        </w:numPr>
        <w:suppressAutoHyphens w:val="true"/>
        <w:bidi w:val="0"/>
        <w:spacing w:lineRule="auto" w:line="276" w:before="0" w:after="0"/>
        <w:ind w:left="0" w:right="0" w:hanging="0"/>
        <w:jc w:val="both"/>
        <w:textAlignment w:val="baseline"/>
        <w:rPr/>
      </w:pPr>
      <w:r>
        <w:rPr>
          <w:rFonts w:cs="Times New Roman" w:ascii="Times New Roman" w:hAnsi="Times New Roman"/>
          <w:color w:val="auto"/>
          <w:sz w:val="24"/>
          <w:szCs w:val="24"/>
        </w:rPr>
        <w:t xml:space="preserve">Ulica posiada odwodnienie za pomocą kanalizacji deszczowej oraz oświetlenie. </w:t>
      </w:r>
    </w:p>
    <w:p>
      <w:pPr>
        <w:pStyle w:val="Standard"/>
        <w:numPr>
          <w:ilvl w:val="0"/>
          <w:numId w:val="0"/>
        </w:numPr>
        <w:bidi w:val="0"/>
        <w:spacing w:lineRule="auto" w:line="360" w:before="0" w:after="0"/>
        <w:ind w:left="720" w:right="0" w:hanging="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cs="Times New Roman" w:ascii="Times New Roman" w:hAnsi="Times New Roman"/>
          <w:color w:val="auto"/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5" w:name="__RefHeading___Toc75861312"/>
      <w:bookmarkEnd w:id="5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PROJEKTOWANE ZAGOSPODAROWANIE DZIAŁKI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auto" w:line="276"/>
        <w:ind w:left="0" w:right="0" w:hanging="0"/>
        <w:jc w:val="both"/>
        <w:rPr/>
      </w:pPr>
      <w:r>
        <w:rPr>
          <w:sz w:val="24"/>
          <w:szCs w:val="24"/>
        </w:rPr>
        <w:t xml:space="preserve">Przedmiotowa inwestycja przewiduje wykonanie robót budowlanych </w:t>
      </w: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  <w:t>w ciągu ulicy M.Dąbrowskiej oraz ulicy M.Konopnickiej.</w:t>
      </w:r>
    </w:p>
    <w:p>
      <w:pPr>
        <w:pStyle w:val="Akapitzlist"/>
        <w:spacing w:lineRule="auto" w:line="276"/>
        <w:ind w:left="0" w:right="0" w:hanging="0"/>
        <w:jc w:val="both"/>
        <w:rPr>
          <w:rFonts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projektuje się obniżenie krawężników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(na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/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projektuje się nawierzchnie ostrzegawcze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 xml:space="preserve">dla pieszych </w:t>
      </w: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(kostki z wypustkami, na całej szerokości przejścia)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 xml:space="preserve">- </w:t>
      </w:r>
      <w:r>
        <w:rPr>
          <w:rFonts w:eastAsia="Calibri" w:cs="Arial" w:ascii="Times New Roman" w:hAnsi="Times New Roman"/>
          <w:b/>
          <w:bCs/>
          <w:sz w:val="24"/>
          <w:szCs w:val="24"/>
          <w:lang w:eastAsia="pl-PL" w:bidi="ar-SA"/>
        </w:rPr>
        <w:t>w rejonie każdego przejścia zaplanowano ustawienie urządzeń doświetlających.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  <w:t>Szczegóły w/w rozwiązań przedstawiono na rysunku konstrukcyjnym oraz na planie sytuacyjnym.</w:t>
      </w:r>
    </w:p>
    <w:p>
      <w:pPr>
        <w:pStyle w:val="Tekst"/>
        <w:tabs>
          <w:tab w:val="clear" w:pos="709"/>
        </w:tabs>
        <w:spacing w:lineRule="auto" w:line="276"/>
        <w:ind w:left="0" w:right="0" w:hanging="0"/>
        <w:rPr>
          <w:rFonts w:ascii="Times New Roman" w:hAnsi="Times New Roman" w:eastAsia="Calibri" w:cs="Arial"/>
          <w:b w:val="false"/>
          <w:b w:val="false"/>
          <w:bCs w:val="false"/>
          <w:sz w:val="24"/>
          <w:szCs w:val="24"/>
          <w:lang w:eastAsia="pl-PL" w:bidi="ar-SA"/>
        </w:rPr>
      </w:pPr>
      <w:r>
        <w:rPr>
          <w:rFonts w:eastAsia="Calibri" w:cs="Arial" w:ascii="Times New Roman" w:hAnsi="Times New Roman"/>
          <w:b w:val="false"/>
          <w:bCs w:val="false"/>
          <w:sz w:val="24"/>
          <w:szCs w:val="24"/>
          <w:lang w:eastAsia="pl-PL" w:bidi="ar-SA"/>
        </w:rPr>
      </w:r>
    </w:p>
    <w:p>
      <w:pPr>
        <w:pStyle w:val="Akapitzlist"/>
        <w:spacing w:lineRule="exact" w:line="320"/>
        <w:ind w:left="0" w:right="0" w:hanging="0"/>
        <w:jc w:val="both"/>
        <w:rPr>
          <w:sz w:val="24"/>
          <w:szCs w:val="24"/>
          <w:highlight w:val="yellow"/>
        </w:rPr>
      </w:pPr>
      <w:r>
        <w:rPr>
          <w:sz w:val="24"/>
          <w:szCs w:val="24"/>
          <w:highlight w:val="yellow"/>
        </w:rPr>
      </w:r>
    </w:p>
    <w:p>
      <w:pPr>
        <w:pStyle w:val="Akapitzlist"/>
        <w:spacing w:lineRule="exact" w:line="280"/>
        <w:ind w:left="720" w:right="0" w:hanging="0"/>
        <w:rPr/>
      </w:pPr>
      <w:r>
        <w:rPr>
          <w:b/>
          <w:bCs/>
          <w:sz w:val="24"/>
          <w:szCs w:val="24"/>
        </w:rPr>
        <w:t>ZESTAWIENIE POWIERZCHNI POSZCZEGÓLNYCH CZĘŚCI ZAGOSPODAROWANIA TERENU:</w:t>
      </w:r>
    </w:p>
    <w:p>
      <w:pPr>
        <w:pStyle w:val="Akapitzlist"/>
        <w:spacing w:lineRule="exact" w:line="280"/>
        <w:ind w:left="426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tbl>
      <w:tblPr>
        <w:tblW w:w="9467" w:type="dxa"/>
        <w:jc w:val="center"/>
        <w:tblInd w:w="0" w:type="dxa"/>
        <w:tblBorders>
          <w:top w:val="single" w:sz="2" w:space="0" w:color="000000"/>
          <w:left w:val="single" w:sz="2" w:space="0" w:color="000000"/>
          <w:bottom w:val="single" w:sz="2" w:space="0" w:color="000000"/>
          <w:insideH w:val="single" w:sz="2" w:space="0" w:color="000000"/>
        </w:tblBorders>
        <w:tblCellMar>
          <w:top w:w="0" w:type="dxa"/>
          <w:left w:w="0" w:type="dxa"/>
          <w:bottom w:w="0" w:type="dxa"/>
          <w:right w:w="0" w:type="dxa"/>
        </w:tblCellMar>
      </w:tblPr>
      <w:tblGrid>
        <w:gridCol w:w="7662"/>
        <w:gridCol w:w="1740"/>
        <w:gridCol w:w="25"/>
        <w:gridCol w:w="39"/>
      </w:tblGrid>
      <w:tr>
        <w:trPr>
          <w:trHeight w:val="358" w:hRule="atLeast"/>
        </w:trPr>
        <w:tc>
          <w:tcPr>
            <w:tcW w:w="940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ind w:left="0" w:right="0" w:firstLine="426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ZESTAWIENIE POWIERZCHNI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</w:r>
          </w:p>
        </w:tc>
      </w:tr>
      <w:tr>
        <w:trPr>
          <w:trHeight w:val="258" w:hRule="atLeast"/>
        </w:trPr>
        <w:tc>
          <w:tcPr>
            <w:tcW w:w="76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Powierzchnia nawierzchni objętych robotami </w:t>
              <w:br/>
              <w:t>(naw. chodnikowe w rejonie przejść dla pieszych - kostka betonowa)</w:t>
            </w:r>
          </w:p>
        </w:tc>
        <w:tc>
          <w:tcPr>
            <w:tcW w:w="17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insideH w:val="single" w:sz="4" w:space="0" w:color="000000"/>
            </w:tcBorders>
            <w:shd w:fill="auto" w:val="clear"/>
            <w:vAlign w:val="center"/>
          </w:tcPr>
          <w:p>
            <w:pPr>
              <w:pStyle w:val="Zawartotabeli"/>
              <w:bidi w:val="0"/>
              <w:spacing w:lineRule="exact" w:line="280" w:before="0" w:after="0"/>
              <w:jc w:val="left"/>
              <w:rPr/>
            </w:pP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 xml:space="preserve">ok. </w:t>
            </w:r>
            <w:r>
              <w:rPr>
                <w:rFonts w:eastAsia="Calibri" w:cs="Times New Roman" w:ascii="Times New Roman" w:hAnsi="Times New Roman"/>
                <w:i/>
                <w:iCs/>
                <w:color w:val="auto"/>
                <w:kern w:val="2"/>
                <w:sz w:val="24"/>
                <w:szCs w:val="24"/>
                <w:lang w:val="pl-PL" w:eastAsia="zh-CN" w:bidi="ar-SA"/>
              </w:rPr>
              <w:t>85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[m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  <w:vertAlign w:val="superscript"/>
              </w:rPr>
              <w:t>2</w:t>
            </w:r>
            <w:r>
              <w:rPr>
                <w:rFonts w:cs="Times New Roman" w:ascii="Times New Roman" w:hAnsi="Times New Roman"/>
                <w:i/>
                <w:iCs/>
                <w:sz w:val="24"/>
                <w:szCs w:val="24"/>
              </w:rPr>
              <w:t>]</w:t>
            </w:r>
          </w:p>
        </w:tc>
        <w:tc>
          <w:tcPr>
            <w:tcW w:w="25" w:type="dxa"/>
            <w:tcBorders>
              <w:top w:val="single" w:sz="2" w:space="0" w:color="000000"/>
              <w:left w:val="single" w:sz="4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  <w:tc>
          <w:tcPr>
            <w:tcW w:w="39" w:type="dxa"/>
            <w:tcBorders>
              <w:top w:val="single" w:sz="2" w:space="0" w:color="000000"/>
              <w:bottom w:val="single" w:sz="2" w:space="0" w:color="000000"/>
              <w:insideH w:val="single" w:sz="2" w:space="0" w:color="000000"/>
            </w:tcBorders>
            <w:shd w:fill="auto" w:val="clear"/>
          </w:tcPr>
          <w:p>
            <w:pPr>
              <w:pStyle w:val="Normal"/>
              <w:snapToGrid w:val="false"/>
              <w:rPr>
                <w:i/>
                <w:i/>
                <w:iCs/>
                <w:sz w:val="24"/>
                <w:szCs w:val="24"/>
                <w:highlight w:val="yellow"/>
              </w:rPr>
            </w:pPr>
            <w:r>
              <w:rPr>
                <w:i/>
                <w:iCs/>
                <w:sz w:val="24"/>
                <w:szCs w:val="24"/>
                <w:highlight w:val="yellow"/>
              </w:rPr>
            </w:r>
          </w:p>
        </w:tc>
      </w:tr>
    </w:tbl>
    <w:p>
      <w:pPr>
        <w:pStyle w:val="Akapitzlist"/>
        <w:spacing w:lineRule="exact" w:line="280"/>
        <w:ind w:left="426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6" w:name="__RefHeading___Toc75861313"/>
      <w:bookmarkEnd w:id="6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INFORMUJĄCE O WPISIE TERENU DO REJESTRU ZABYTKÓW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Teren znajduje się poza strefą ochrony konserwatorskiej.</w:t>
      </w:r>
    </w:p>
    <w:p>
      <w:pPr>
        <w:pStyle w:val="Akapitzlist"/>
        <w:spacing w:lineRule="exact" w:line="28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2"/>
        <w:numPr>
          <w:ilvl w:val="1"/>
          <w:numId w:val="4"/>
        </w:numPr>
        <w:tabs>
          <w:tab w:val="clear" w:pos="709"/>
          <w:tab w:val="left" w:pos="426" w:leader="none"/>
        </w:tabs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7" w:name="__RefHeading___Toc75861314"/>
      <w:bookmarkEnd w:id="7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DANE OKREŚLAJĄCE WPŁYW EKSPLOATACJI GÓRNICZEJ NA TEREN </w:t>
        <w:tab/>
        <w:t>OBJĘTY   INWESTYCJĄ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spacing w:lineRule="exact" w:line="280"/>
        <w:ind w:left="0" w:right="0" w:hanging="0"/>
        <w:rPr>
          <w:sz w:val="24"/>
          <w:szCs w:val="24"/>
        </w:rPr>
      </w:pPr>
      <w:r>
        <w:rPr>
          <w:sz w:val="24"/>
          <w:szCs w:val="24"/>
        </w:rPr>
        <w:t>Inwestycja nie znajduje się na terenach górniczych.</w:t>
      </w:r>
    </w:p>
    <w:p>
      <w:pPr>
        <w:pStyle w:val="Nagwek2"/>
        <w:numPr>
          <w:ilvl w:val="1"/>
          <w:numId w:val="4"/>
        </w:numPr>
        <w:ind w:left="426" w:right="0" w:hanging="426"/>
        <w:rPr>
          <w:i w:val="false"/>
          <w:i w:val="false"/>
          <w:iCs w:val="false"/>
          <w:sz w:val="24"/>
          <w:szCs w:val="24"/>
        </w:rPr>
      </w:pPr>
      <w:bookmarkStart w:id="8" w:name="__RefHeading___Toc75861315"/>
      <w:bookmarkEnd w:id="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INFORMACJA O CHARAKTERZE I CECHACH ISTNIEJĄCYCH I PRZEWIDYWANYCH ZAGROŻEŃ DLA ŚRODOWISKA ORAZ HIGIENY I ZDROWIA UŻYTKOWNIKÓW</w:t>
      </w:r>
    </w:p>
    <w:p>
      <w:pPr>
        <w:pStyle w:val="Akapitzlist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>Przyjęte w niniejszym projekcie rozwiązania przestrzenne, funkcjonalne i techniczne nie będą wpływać negatywnie na środowisko przyrodnicze, zdrowie ludzi jak również na inne obiekty budowlane.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  <w:t xml:space="preserve">Oddziaływania na środowisko w postacie emisji zanieczyszczeń gazowych, pyłowych będą miały charakter krótkotrwały, występujący jedynie na etapie prowadzenia robót budowlanych. Będą to zanieczyszczenia pochodzące od pracy silników spalinowych maszyn, urządzeń i pojazdów budowy wykorzystywanych do realizacji inwestycji. Odpady wytworzone na miejscu budowy, stanowiące odpad powstały przy wbudowywaniu poszczególnych rodzajów i gatunków materiałów budowlanych oddane zostaną do punktów utylizacji. Odpady nadające się do ponownego przetworzenia zostaną posegregowane rodzajowo, zebrane w pojemniki do tego celu przeznaczone i oddane do lokalnego punktu gromadzenia odpadów.   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</w:rPr>
      </w:pPr>
      <w:r>
        <w:rPr>
          <w:rFonts w:cs="Times New Roman" w:ascii="Times New Roman" w:hAnsi="Times New Roman"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>Zmodernizowane obiekty w postaci nawierzchni przeznaczonej dla ruchu pieszych nie wpłyną na pogorszenie klimatu akustycznego.  Jakiekolwiek uciążliwości w tym zakresie będą związane wyłącznie z etapem realizacji inwestycji i będą miały charakter krótkotrwały.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  <w:bCs/>
        </w:rPr>
        <w:t>Mając na względzie zakres przewidzianych do wykonania prac należy stwierdzić, że zarówno roboty budowlane, jak i późniejsza eksploatacja nie będą wywierały ujemnego wpływu na wody powierzchniowe i podziemne na tym terenie – bez zmian w stosunku do stanu istniejącego.</w:t>
      </w:r>
      <w:r>
        <w:rPr>
          <w:rFonts w:cs="Times New Roman" w:ascii="Times New Roman" w:hAnsi="Times New Roman"/>
        </w:rPr>
        <w:t xml:space="preserve">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>
          <w:rFonts w:cs="Times New Roman" w:ascii="Times New Roman" w:hAnsi="Times New Roman"/>
        </w:rPr>
        <w:t xml:space="preserve">Warunki odwodnienia – bez zmian w stosunku do stanu istniejącego (kanalizacja deszczowa). </w:t>
      </w:r>
    </w:p>
    <w:p>
      <w:pPr>
        <w:pStyle w:val="Textbody"/>
        <w:bidi w:val="0"/>
        <w:spacing w:lineRule="exact" w:line="280" w:before="0" w:after="0"/>
        <w:jc w:val="both"/>
        <w:rPr/>
      </w:pPr>
      <w:r>
        <w:rPr/>
      </w:r>
    </w:p>
    <w:p>
      <w:pPr>
        <w:pStyle w:val="Akapitzlist"/>
        <w:spacing w:lineRule="exact" w:line="280"/>
        <w:ind w:left="0" w:right="0" w:hanging="0"/>
        <w:jc w:val="both"/>
        <w:rPr/>
      </w:pPr>
      <w:r>
        <w:rPr>
          <w:sz w:val="24"/>
          <w:szCs w:val="24"/>
        </w:rPr>
        <w:t>Planowana inwestycja ma charakter nieuciążliwy i nie stanowi inwestycji zaliczanych do przedsięwzięć mogących znacząco oddziaływać na środowisko naturalne w rozumieniu Rozporządzenia Rady Ministrów z dnia 9.11.2010 w sprawie przedsięwzięć mogących znacząco oddziaływać na środowisko</w:t>
      </w:r>
      <w:r>
        <w:rPr>
          <w:rFonts w:eastAsia="NSimSun"/>
          <w:bCs/>
          <w:sz w:val="24"/>
          <w:szCs w:val="24"/>
          <w:lang w:bidi="hi-IN"/>
        </w:rPr>
        <w:t>.</w:t>
      </w:r>
    </w:p>
    <w:p>
      <w:pPr>
        <w:pStyle w:val="Textbody"/>
        <w:bidi w:val="0"/>
        <w:spacing w:lineRule="exact" w:line="280" w:before="0" w:after="0"/>
        <w:ind w:left="426" w:right="0" w:hanging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br/>
      </w:r>
    </w:p>
    <w:p>
      <w:pPr>
        <w:pStyle w:val="Akapitzlist"/>
        <w:spacing w:lineRule="exact" w:line="280"/>
        <w:ind w:left="400" w:right="0" w:hanging="0"/>
        <w:jc w:val="both"/>
        <w:rPr>
          <w:rFonts w:eastAsia="NSimSun"/>
          <w:sz w:val="24"/>
          <w:szCs w:val="24"/>
          <w:lang w:bidi="hi-IN"/>
        </w:rPr>
      </w:pPr>
      <w:r>
        <w:rPr>
          <w:rFonts w:eastAsia="NSimSun"/>
          <w:sz w:val="24"/>
          <w:szCs w:val="24"/>
          <w:lang w:bidi="hi-IN"/>
        </w:rPr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b/>
          <w:b/>
          <w:bCs/>
        </w:rPr>
      </w:pPr>
      <w:r>
        <w:rPr>
          <w:rFonts w:cs="Times New Roman" w:ascii="Times New Roman" w:hAnsi="Times New Roman"/>
          <w:b/>
          <w:bCs/>
        </w:rPr>
        <w:t>Uwarunkowania mające wpływ na higienę i zdrowie użytkowników projektowanych obiektów i ich otoczenia.</w:t>
      </w:r>
    </w:p>
    <w:p>
      <w:pPr>
        <w:pStyle w:val="Textbody"/>
        <w:bidi w:val="0"/>
        <w:spacing w:lineRule="exact" w:line="280" w:before="0" w:after="0"/>
        <w:jc w:val="left"/>
        <w:rPr>
          <w:rFonts w:ascii="Times New Roman" w:hAnsi="Times New Roman" w:cs="Times New Roman"/>
          <w:color w:val="CE181E"/>
        </w:rPr>
      </w:pPr>
      <w:r>
        <w:rPr>
          <w:rFonts w:cs="Times New Roman" w:ascii="Times New Roman" w:hAnsi="Times New Roman"/>
          <w:color w:val="CE181E"/>
        </w:rPr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>Z uwagi na charakter i lokalizację obiektu, nie występują uwarunkowania wpływające szczególnie negatywnie na zdrowie czy higienę użytkowników.</w:t>
      </w:r>
    </w:p>
    <w:p>
      <w:pPr>
        <w:pStyle w:val="Textbody"/>
        <w:bidi w:val="0"/>
        <w:spacing w:lineRule="exact" w:line="280" w:before="0" w:after="0"/>
        <w:jc w:val="both"/>
        <w:rPr>
          <w:rFonts w:ascii="Times New Roman" w:hAnsi="Times New Roman" w:cs="Times New Roman"/>
          <w:bCs/>
        </w:rPr>
      </w:pPr>
      <w:r>
        <w:rPr>
          <w:rFonts w:cs="Times New Roman" w:ascii="Times New Roman" w:hAnsi="Times New Roman"/>
          <w:bCs/>
        </w:rPr>
        <w:t xml:space="preserve">Modernizowane nawierzchnie zapewnią możliwość komfortowego i bezpiecznego korzystania przez wszystkich uczestników ruchu. </w:t>
      </w:r>
    </w:p>
    <w:p>
      <w:pPr>
        <w:pStyle w:val="Akapitzlist"/>
        <w:spacing w:lineRule="exact" w:line="280"/>
        <w:ind w:left="0" w:right="0" w:hanging="0"/>
        <w:jc w:val="both"/>
        <w:rPr>
          <w:lang w:eastAsia="en-US"/>
        </w:rPr>
      </w:pPr>
      <w:r>
        <w:rPr>
          <w:lang w:eastAsia="en-US"/>
        </w:rPr>
      </w:r>
    </w:p>
    <w:p>
      <w:pPr>
        <w:pStyle w:val="Nagwek2"/>
        <w:numPr>
          <w:ilvl w:val="1"/>
          <w:numId w:val="4"/>
        </w:numPr>
        <w:rPr>
          <w:rFonts w:ascii="Times New Roman" w:hAnsi="Times New Roman" w:cs="Times New Roman"/>
          <w:i w:val="false"/>
          <w:i w:val="false"/>
          <w:iCs w:val="false"/>
          <w:sz w:val="24"/>
          <w:szCs w:val="24"/>
        </w:rPr>
      </w:pPr>
      <w:bookmarkStart w:id="9" w:name="__RefHeading___Toc75861316"/>
      <w:bookmarkEnd w:id="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KOŃCOWE</w:t>
      </w:r>
    </w:p>
    <w:p>
      <w:pPr>
        <w:pStyle w:val="Normal"/>
        <w:spacing w:lineRule="exact" w:line="280"/>
        <w:rPr>
          <w:b/>
          <w:b/>
          <w:i/>
          <w:i/>
          <w:iCs/>
          <w:sz w:val="24"/>
          <w:szCs w:val="24"/>
        </w:rPr>
      </w:pPr>
      <w:r>
        <w:rPr>
          <w:b/>
          <w:i/>
          <w:iCs/>
          <w:sz w:val="24"/>
          <w:szCs w:val="24"/>
        </w:rPr>
      </w:r>
    </w:p>
    <w:p>
      <w:pPr>
        <w:pStyle w:val="Akapitzlist"/>
        <w:widowControl/>
        <w:suppressAutoHyphens w:val="true"/>
        <w:bidi w:val="0"/>
        <w:spacing w:lineRule="exact" w:line="280"/>
        <w:ind w:left="0" w:right="0" w:hanging="0"/>
        <w:jc w:val="both"/>
        <w:rPr>
          <w:sz w:val="24"/>
          <w:szCs w:val="24"/>
        </w:rPr>
      </w:pPr>
      <w:r>
        <w:rPr>
          <w:sz w:val="24"/>
          <w:szCs w:val="24"/>
        </w:rPr>
        <w:t>Wszelkie roboty budowlane należy wykonywać zgodnie z dokumentacją projektową pod nadzorem osoby posiadającej stosowne uprawnienia do kierowania robotami w danej specjalności.  Szczegółowe wymagania i zalecenia dotyczące realizacji robót budowlanych opisuje część opracowania pn. projekt architektoniczno-budowlany oraz odpowiednie specyfikacje techniczne wykonania i odbioru robót budowlanych.</w:t>
      </w:r>
    </w:p>
    <w:p>
      <w:pPr>
        <w:pStyle w:val="Normal"/>
        <w:ind w:left="400" w:right="0" w:hanging="0"/>
        <w:jc w:val="right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0" w:name="__RefHeading___Toc75861317"/>
      <w:bookmarkEnd w:id="10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>ZAGOSPODAROWANIA TERENU</w:t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1" w:name="__RefHeading___Toc75861318"/>
      <w:bookmarkEnd w:id="11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r>
        <w:rPr>
          <w:b w:val="false"/>
          <w:bCs w:val="false"/>
          <w:i w:val="false"/>
          <w:iCs w:val="false"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sz w:val="24"/>
          <w:szCs w:val="24"/>
        </w:rPr>
      </w:pPr>
      <w:bookmarkStart w:id="12" w:name="__RefHeading___Toc3220_1339427135"/>
      <w:bookmarkEnd w:id="12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orientacyjny (rys. nr 1).</w:t>
      </w:r>
    </w:p>
    <w:p>
      <w:pPr>
        <w:pStyle w:val="Nagwek2"/>
        <w:numPr>
          <w:ilvl w:val="1"/>
          <w:numId w:val="2"/>
        </w:numPr>
        <w:rPr>
          <w:i w:val="false"/>
          <w:i w:val="false"/>
          <w:iCs w:val="false"/>
        </w:rPr>
      </w:pPr>
      <w:bookmarkStart w:id="13" w:name="__RefHeading___Toc3222_1339427135"/>
      <w:bookmarkEnd w:id="13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Plan sytuacyjny (rys. nr 2).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spacing w:lineRule="exact" w:line="340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4" w:name="__RefHeading___Toc415_2367410010"/>
      <w:bookmarkEnd w:id="14"/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 </w:t>
      </w:r>
      <w:r>
        <w:rPr>
          <w:rStyle w:val="Mocnowyrniony"/>
          <w:rFonts w:cs="Times New Roman" w:ascii="Times New Roman" w:hAnsi="Times New Roman"/>
          <w:sz w:val="24"/>
          <w:szCs w:val="24"/>
        </w:rPr>
        <w:t xml:space="preserve">INFORMACJA DOTYCZĄCA PLANU BEZPIECZEŃSTWA </w:t>
        <w:br/>
        <w:t>I OCHRONY ZDROWIA</w:t>
      </w:r>
    </w:p>
    <w:p>
      <w:pPr>
        <w:pStyle w:val="Normal"/>
        <w:jc w:val="center"/>
        <w:rPr/>
      </w:pPr>
      <w:r>
        <w:rPr/>
      </w:r>
    </w:p>
    <w:p>
      <w:pPr>
        <w:pStyle w:val="Normal"/>
        <w:numPr>
          <w:ilvl w:val="0"/>
          <w:numId w:val="5"/>
        </w:numPr>
        <w:ind w:left="284" w:right="-156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Zakres robót zamierzenia budowlanego oraz kolejność realizacji urządzeń towarzyszących</w:t>
      </w:r>
    </w:p>
    <w:p>
      <w:pPr>
        <w:pStyle w:val="Normal"/>
        <w:ind w:left="142" w:right="0" w:hanging="0"/>
        <w:rPr>
          <w:sz w:val="24"/>
          <w:szCs w:val="24"/>
        </w:rPr>
      </w:pPr>
      <w:r>
        <w:rPr>
          <w:sz w:val="24"/>
          <w:szCs w:val="24"/>
        </w:rPr>
        <w:t>Główne roboty budowlane prowadzone będą w następującej kolejności: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 xml:space="preserve">wytyczenie geodezyjne 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rozbiórki istniejących nawierzchni z kostki betonowej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infrastruktury podziemnej / elementów zabezpieczających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instalacja urządzeń doświetlających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wbudowanie nowych elementów nawierzchniowych</w:t>
      </w:r>
    </w:p>
    <w:p>
      <w:pPr>
        <w:pStyle w:val="Normal"/>
        <w:numPr>
          <w:ilvl w:val="0"/>
          <w:numId w:val="10"/>
        </w:numPr>
        <w:rPr>
          <w:iCs/>
          <w:sz w:val="24"/>
          <w:szCs w:val="24"/>
        </w:rPr>
      </w:pPr>
      <w:r>
        <w:rPr>
          <w:iCs/>
          <w:sz w:val="24"/>
          <w:szCs w:val="24"/>
        </w:rPr>
        <w:t>odtworzenie rozebranych nawierzchni</w:t>
      </w:r>
    </w:p>
    <w:p>
      <w:pPr>
        <w:pStyle w:val="Normal"/>
        <w:numPr>
          <w:ilvl w:val="0"/>
          <w:numId w:val="10"/>
        </w:numPr>
        <w:rPr/>
      </w:pPr>
      <w:r>
        <w:rPr>
          <w:iCs/>
          <w:sz w:val="24"/>
          <w:szCs w:val="24"/>
        </w:rPr>
        <w:t>wykonanie oznakowania poziomego i pionowego</w:t>
      </w:r>
    </w:p>
    <w:p>
      <w:pPr>
        <w:pStyle w:val="Normal"/>
        <w:ind w:left="862" w:right="0" w:hanging="0"/>
        <w:rPr>
          <w:iCs/>
          <w:sz w:val="24"/>
          <w:szCs w:val="24"/>
        </w:rPr>
      </w:pPr>
      <w:r>
        <w:rPr>
          <w:iCs/>
          <w:sz w:val="24"/>
          <w:szCs w:val="24"/>
        </w:rPr>
      </w:r>
    </w:p>
    <w:p>
      <w:pPr>
        <w:pStyle w:val="Normal"/>
        <w:ind w:left="708" w:right="0" w:hanging="566"/>
        <w:rPr>
          <w:sz w:val="24"/>
          <w:szCs w:val="24"/>
        </w:rPr>
      </w:pPr>
      <w:r>
        <w:rPr>
          <w:sz w:val="24"/>
          <w:szCs w:val="24"/>
        </w:rPr>
        <w:t>Wykaz istniejących obiektów budowlanych:</w:t>
      </w:r>
    </w:p>
    <w:p>
      <w:pPr>
        <w:pStyle w:val="Normal"/>
        <w:rPr/>
      </w:pPr>
      <w:r>
        <w:rPr>
          <w:sz w:val="24"/>
          <w:szCs w:val="24"/>
          <w:u w:val="none"/>
        </w:rPr>
        <w:t xml:space="preserve">  </w:t>
      </w:r>
      <w:r>
        <w:rPr>
          <w:sz w:val="24"/>
          <w:szCs w:val="24"/>
          <w:u w:val="none"/>
        </w:rPr>
        <w:t>Przyległa do drogi zabudowa jednorodzinna.</w:t>
      </w:r>
    </w:p>
    <w:p>
      <w:pPr>
        <w:pStyle w:val="Akapitzlist"/>
        <w:ind w:left="142" w:right="0" w:hanging="0"/>
        <w:jc w:val="both"/>
        <w:rPr>
          <w:rFonts w:eastAsia="Times New Roman" w:cs="Times New Roman"/>
          <w:i w:val="false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pPr>
      <w:r>
        <w:rPr>
          <w:rFonts w:eastAsia="Times New Roman" w:cs="Times New Roman"/>
          <w:i w:val="false"/>
          <w:iCs/>
          <w:color w:val="auto"/>
          <w:kern w:val="2"/>
          <w:sz w:val="24"/>
          <w:szCs w:val="24"/>
          <w:highlight w:val="yellow"/>
          <w:lang w:val="pl-PL" w:eastAsia="zh-CN" w:bidi="ar-SA"/>
        </w:rPr>
      </w:r>
    </w:p>
    <w:p>
      <w:pPr>
        <w:pStyle w:val="Akapitzlist"/>
        <w:ind w:left="142" w:right="0" w:hanging="0"/>
        <w:jc w:val="both"/>
        <w:rPr>
          <w:rFonts w:eastAsia="Times New Roman" w:cs="Times New Roman"/>
          <w:i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pPr>
      <w:r>
        <w:rPr>
          <w:rFonts w:eastAsia="Times New Roman" w:cs="Times New Roman"/>
          <w:i/>
          <w:iCs/>
          <w:color w:val="00B050"/>
          <w:kern w:val="2"/>
          <w:sz w:val="22"/>
          <w:szCs w:val="22"/>
          <w:highlight w:val="yellow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/>
      </w:pP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Elementy, które mogą stwarzać zagrożenie dla bezpieczeństwa i zdrowia ludzi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Planowana modernizacja nawierzchni prowadzona będzie w typowej technologii co za tym idzie, nie przewiduje się czynności stwarzających ponadstandardowe ryzyko powstania zagrożenia bezpieczeństwa i zdrowia ludzi.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Nie przewiduje się wykorzystywania ciężkich elementów prefabrykowanych jak również udziału innych szczególnie niebezpiecznych robót budowlanych.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4"/>
          <w:szCs w:val="24"/>
          <w:lang w:val="pl-PL" w:eastAsia="zh-CN" w:bidi="ar-SA"/>
        </w:rPr>
      </w:r>
    </w:p>
    <w:p>
      <w:pPr>
        <w:pStyle w:val="Normal"/>
        <w:numPr>
          <w:ilvl w:val="0"/>
          <w:numId w:val="5"/>
        </w:numPr>
        <w:ind w:left="284" w:right="0" w:hanging="284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Zagrożenia, które mogą wystąpić w trakcie budowy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Czynności, które mogą stanowić potencjalne zagrożenie w trakcie realizacji robót budowlanych związane będą między innymi z: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pracą sprzętu w tracie dowozu i rozładunku materiałów budowlanych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maszyn w trakcie układania nawierzchni drogowych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- pracą w rejonie uzbrojenia podziemnego / naziemnego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/>
      </w:r>
    </w:p>
    <w:p>
      <w:pPr>
        <w:pStyle w:val="Normal"/>
        <w:ind w:left="708" w:right="0" w:hanging="566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Akapitzlist"/>
        <w:numPr>
          <w:ilvl w:val="0"/>
          <w:numId w:val="5"/>
        </w:numPr>
        <w:spacing w:before="0" w:after="0"/>
        <w:ind w:left="284" w:right="0" w:hanging="284"/>
        <w:contextualSpacing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Sposób prowadzenia instruktażu pracowników przed przystąpieniem do realizacji robót szczególnie niebezpiecznych</w:t>
      </w:r>
    </w:p>
    <w:p>
      <w:pPr>
        <w:pStyle w:val="Normal"/>
        <w:ind w:left="708" w:right="0" w:hanging="566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budowy jest zobowiązany do udzielenia szczegółowego instruktażu zatrudnionym na budowie pracownikom w zakresie przestrzegania obowiązujących przepisów i zasad bezpieczeństwa pracy. Dodatkowo pracownicy, przed rozpoczęciem robót, powinni być poinformowani przez przełożonego o zakresie ich obowiązków, sposobie wykonywania pracy na wyznaczonym stanowisku, ryzyku zawodowym związanym z wykonywaną pracą oraz o zasadach ochrony przed zagrożeniami.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i/>
          <w:i/>
          <w:sz w:val="22"/>
          <w:szCs w:val="22"/>
        </w:rPr>
      </w:pPr>
      <w:r>
        <w:rPr>
          <w:i/>
          <w:sz w:val="22"/>
          <w:szCs w:val="22"/>
        </w:rPr>
      </w:r>
    </w:p>
    <w:p>
      <w:pPr>
        <w:pStyle w:val="Normal"/>
        <w:numPr>
          <w:ilvl w:val="0"/>
          <w:numId w:val="5"/>
        </w:numPr>
        <w:ind w:left="284" w:right="0" w:hanging="284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  <w:t>Środki techniczne i organizacyjne zapewniające bezpieczeństwo</w:t>
      </w:r>
    </w:p>
    <w:p>
      <w:pPr>
        <w:pStyle w:val="Normal"/>
        <w:ind w:left="708" w:right="0" w:hanging="566"/>
        <w:jc w:val="both"/>
        <w:rPr>
          <w:b/>
          <w:b/>
          <w:sz w:val="24"/>
          <w:szCs w:val="24"/>
        </w:rPr>
      </w:pPr>
      <w:r>
        <w:rPr>
          <w:b/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Zagospodarowanie terenu budowy wykonuje się co najmniej w zakresie:</w:t>
      </w:r>
    </w:p>
    <w:p>
      <w:pPr>
        <w:pStyle w:val="Normal"/>
        <w:numPr>
          <w:ilvl w:val="0"/>
          <w:numId w:val="9"/>
        </w:numPr>
        <w:jc w:val="both"/>
        <w:rPr/>
      </w:pPr>
      <w:r>
        <w:rPr>
          <w:sz w:val="24"/>
          <w:szCs w:val="24"/>
        </w:rPr>
        <w:t>zorganizowania niezbędnych wygrodzeń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>zapewnienia oświetlenia naturalnego ew. sztucznego</w:t>
      </w:r>
    </w:p>
    <w:p>
      <w:pPr>
        <w:pStyle w:val="Normal"/>
        <w:numPr>
          <w:ilvl w:val="0"/>
          <w:numId w:val="9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urządzenia składowisk materiałów i wyrobów </w:t>
      </w:r>
    </w:p>
    <w:p>
      <w:pPr>
        <w:pStyle w:val="Normal"/>
        <w:numPr>
          <w:ilvl w:val="0"/>
          <w:numId w:val="9"/>
        </w:numPr>
        <w:rPr/>
      </w:pPr>
      <w:r>
        <w:rPr>
          <w:sz w:val="24"/>
          <w:szCs w:val="24"/>
        </w:rPr>
        <w:t>na terenie budowy należy zabezpieczyć apteczkę pierwszej pomocy i sprzęt gaśniczy</w:t>
      </w:r>
    </w:p>
    <w:p>
      <w:pPr>
        <w:pStyle w:val="Normal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W trakcie wykonywania robót budowlanych kierownik budowy winien zapewnić odpowiednie oznakowanie rejonu prowadzonych robót a także zapewnić niekolidujące z dojazdem do posesji prywatnych trasy dostaw materiałów budowlanych oraz sprzętu budowlanego. </w:t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both"/>
        <w:rPr>
          <w:sz w:val="24"/>
          <w:szCs w:val="24"/>
        </w:rPr>
      </w:pPr>
      <w:r>
        <w:rPr>
          <w:sz w:val="24"/>
          <w:szCs w:val="24"/>
        </w:rPr>
        <w:t>Kierownik robót jest zobowiązany chronić zdrowie i życie pracowników przez zapewnienie bezpiecznych i higienicznych warunków pracy a przed przystąpieniem do robót budowlanych - do sporządzenia planu bezpieczeństwa i ochrony zdrowia.</w:t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spacing w:lineRule="exact" w:line="340"/>
        <w:ind w:left="400" w:right="0" w:hanging="0"/>
        <w:jc w:val="right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7799" w:right="0" w:hanging="0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left="400" w:right="0" w:hanging="0"/>
        <w:jc w:val="right"/>
        <w:rPr/>
      </w:pPr>
      <w:r>
        <w:rPr/>
      </w:r>
    </w:p>
    <w:p>
      <w:pPr>
        <w:pStyle w:val="Normal"/>
        <w:ind w:right="0" w:hanging="0"/>
        <w:jc w:val="right"/>
        <w:rPr/>
      </w:pPr>
      <w:r>
        <w:rPr/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15" w:name="__RefHeading___Toc417_2367410010"/>
      <w:bookmarkEnd w:id="15"/>
      <w:r>
        <w:rPr>
          <w:rStyle w:val="Mocnowyrniony"/>
          <w:rFonts w:cs="Times New Roman" w:ascii="Times New Roman" w:hAnsi="Times New Roman"/>
          <w:sz w:val="24"/>
          <w:szCs w:val="24"/>
        </w:rPr>
        <w:t>PROJEKT ARCHITEKTONICZNO-BUDOWLANY</w:t>
      </w:r>
    </w:p>
    <w:p>
      <w:pPr>
        <w:pStyle w:val="Normal"/>
        <w:jc w:val="center"/>
        <w:rPr/>
      </w:pPr>
      <w:r>
        <w:rPr/>
      </w:r>
    </w:p>
    <w:p>
      <w:pPr>
        <w:pStyle w:val="Nagwek2"/>
        <w:numPr>
          <w:ilvl w:val="1"/>
          <w:numId w:val="3"/>
        </w:numPr>
        <w:rPr>
          <w:i w:val="false"/>
          <w:i w:val="false"/>
          <w:iCs w:val="false"/>
          <w:sz w:val="24"/>
          <w:szCs w:val="24"/>
        </w:rPr>
      </w:pPr>
      <w:bookmarkStart w:id="16" w:name="__RefHeading___Toc419_2367410010"/>
      <w:bookmarkEnd w:id="16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PRZEZNACZENIE I PROGRAM UŻYTKOWY OBIEKTU </w:t>
      </w:r>
    </w:p>
    <w:p>
      <w:pPr>
        <w:pStyle w:val="Normal"/>
        <w:ind w:left="709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Przeznaczenie obiektu (chodnik w obrębie skrzyżowania) – bez zmian w stosunku do stanu istniejącego, dla ogólnodostępnego ruchu pieszych.</w:t>
      </w:r>
    </w:p>
    <w:p>
      <w:pPr>
        <w:pStyle w:val="Normal"/>
        <w:jc w:val="both"/>
        <w:rPr/>
      </w:pPr>
      <w:r>
        <w:rPr/>
      </w:r>
    </w:p>
    <w:p>
      <w:pPr>
        <w:pStyle w:val="Normal"/>
        <w:jc w:val="both"/>
        <w:rPr/>
      </w:pPr>
      <w:r>
        <w:rPr>
          <w:sz w:val="22"/>
          <w:szCs w:val="22"/>
        </w:rPr>
        <w:t>Charakterystyczne parametry techniczne:</w:t>
      </w:r>
    </w:p>
    <w:p>
      <w:pPr>
        <w:pStyle w:val="Normal"/>
        <w:jc w:val="both"/>
        <w:rPr/>
      </w:pPr>
      <w:r>
        <w:rPr>
          <w:sz w:val="22"/>
          <w:szCs w:val="22"/>
        </w:rPr>
        <w:t>Nawierzchnia chodników objęta robotami:  ok. 85</w:t>
      </w: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  <w:r>
        <w:rPr>
          <w:sz w:val="22"/>
          <w:szCs w:val="22"/>
        </w:rPr>
        <w:t>m</w:t>
      </w:r>
      <w:r>
        <w:rPr>
          <w:sz w:val="22"/>
          <w:szCs w:val="22"/>
          <w:vertAlign w:val="superscript"/>
        </w:rPr>
        <w:t>2</w:t>
      </w:r>
      <w:r>
        <w:rPr>
          <w:position w:val="0"/>
          <w:sz w:val="22"/>
          <w:sz w:val="22"/>
          <w:szCs w:val="22"/>
          <w:vertAlign w:val="baseline"/>
        </w:rPr>
        <w:t>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eastAsia="Times New Roman" w:cs="Times New Roman"/>
          <w:b/>
          <w:b/>
          <w:bCs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bookmarkStart w:id="17" w:name="__RefHeading___Toc75861322"/>
      <w:bookmarkEnd w:id="17"/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 xml:space="preserve">  </w:t>
      </w:r>
      <w:r>
        <w:rPr>
          <w:rFonts w:eastAsia="Times New Roman" w:cs="Times New Roman" w:ascii="Times New Roman" w:hAnsi="Times New Roman"/>
          <w:b/>
          <w:bCs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FORMA ARCHITEKTONICZNA I FUNKCJA OBIEKTU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Standard"/>
        <w:bidi w:val="0"/>
        <w:spacing w:lineRule="exact" w:line="300"/>
        <w:jc w:val="both"/>
        <w:rPr/>
      </w:pPr>
      <w:r>
        <w:rPr>
          <w:rFonts w:eastAsia="Times New Roman" w:cs="Times New Roman" w:ascii="Times New Roman" w:hAnsi="Times New Roman"/>
          <w:b w:val="false"/>
          <w:bCs w:val="false"/>
          <w:i w:val="false"/>
          <w:iCs w:val="false"/>
          <w:color w:val="auto"/>
          <w:kern w:val="0"/>
          <w:sz w:val="22"/>
          <w:szCs w:val="22"/>
          <w:lang w:val="pl-PL" w:eastAsia="zh-CN" w:bidi="ar-SA"/>
        </w:rPr>
        <w:t>Przebudowa chodników</w:t>
      </w:r>
      <w:r>
        <w:rPr>
          <w:rFonts w:eastAsia="Times New Roman" w:cs="Times New Roman" w:ascii="Times New Roman" w:hAnsi="Times New Roman"/>
          <w:kern w:val="0"/>
        </w:rPr>
        <w:t xml:space="preserve"> zostanie wykonana przy użyciu kostki betonowej – zgodnie z obiektami sąsiednimi o tym samym charakterze.</w:t>
      </w:r>
    </w:p>
    <w:p>
      <w:pPr>
        <w:pStyle w:val="Normal"/>
        <w:jc w:val="both"/>
        <w:rPr/>
      </w:pPr>
      <w:r>
        <w:rPr>
          <w:sz w:val="22"/>
          <w:szCs w:val="22"/>
        </w:rPr>
        <w:t>Podstawowa funkcja projektowanego obiektu:  bez zmian - drogi zapewniające komunikację pieszą w obrębie skrzyżowania.</w:t>
      </w:r>
    </w:p>
    <w:p>
      <w:pPr>
        <w:pStyle w:val="Normal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18" w:name="__RefHeading___Toc1786_1339427135"/>
      <w:bookmarkEnd w:id="18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UKŁAD KONSTRUKCYJNY PRZEBUDOWYWANYCH OBIEKTÓW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left="0" w:right="0" w:hanging="0"/>
        <w:jc w:val="both"/>
        <w:rPr/>
      </w:pPr>
      <w:r>
        <w:rPr>
          <w:sz w:val="22"/>
          <w:szCs w:val="22"/>
        </w:rPr>
        <w:t>Projektowana konstrukcja przebudowywanych nawierzchni chodnikowych: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Akapitzlist"/>
        <w:jc w:val="both"/>
        <w:rPr/>
      </w:pPr>
      <w:r>
        <w:rPr>
          <w:sz w:val="22"/>
          <w:szCs w:val="22"/>
        </w:rPr>
        <w:t>- kostka betonowa  / kostka betonowa ostrzegawcza, gr. 8 cm</w:t>
      </w:r>
    </w:p>
    <w:p>
      <w:pPr>
        <w:pStyle w:val="Akapitzlist"/>
        <w:jc w:val="left"/>
        <w:rPr/>
      </w:pPr>
      <w:r>
        <w:rPr>
          <w:sz w:val="22"/>
          <w:szCs w:val="22"/>
        </w:rPr>
        <w:t>- podsypka cementowo – piaskowa, gr. 5cm</w:t>
        <w:br/>
        <w:t>- podbudowa z kruszywa łamanego fr. 0-31,5mm C</w:t>
      </w:r>
      <w:r>
        <w:rPr>
          <w:sz w:val="22"/>
          <w:szCs w:val="22"/>
          <w:vertAlign w:val="subscript"/>
        </w:rPr>
        <w:t>90/3</w:t>
      </w:r>
      <w:r>
        <w:rPr>
          <w:position w:val="0"/>
          <w:sz w:val="22"/>
          <w:sz w:val="22"/>
          <w:szCs w:val="22"/>
          <w:vertAlign w:val="baseline"/>
        </w:rPr>
        <w:t xml:space="preserve">, </w:t>
      </w:r>
      <w:r>
        <w:rPr>
          <w:sz w:val="22"/>
          <w:szCs w:val="22"/>
        </w:rPr>
        <w:t xml:space="preserve"> gr. 15cm</w:t>
      </w:r>
    </w:p>
    <w:p>
      <w:pPr>
        <w:pStyle w:val="Akapitzlist"/>
        <w:jc w:val="left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Akapitzlist"/>
        <w:ind w:right="0" w:hanging="0"/>
        <w:jc w:val="both"/>
        <w:rPr/>
      </w:pPr>
      <w:r>
        <w:rPr>
          <w:sz w:val="22"/>
          <w:szCs w:val="22"/>
        </w:rPr>
        <w:t>W miejscach gdzie przewidziano realizację nowych fragmentów chodnika, przewidziane jest wbudowanie nowej kostki betonowej, w pozostałych miejscach – wtórne przełożenie kostki pozyskanej z rozbiórki.</w:t>
      </w:r>
    </w:p>
    <w:p>
      <w:pPr>
        <w:pStyle w:val="Akapitzlist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0"/>
          <w:numId w:val="0"/>
        </w:numPr>
        <w:ind w:left="0" w:hanging="0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19" w:name="__RefHeading___Toc75861324"/>
      <w:bookmarkEnd w:id="19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BUDOWLANE I TECHNICZNO-INSTALACYJNE ORAZ ROZWIĄZANIA TECHNICZNO-BUDOWLANE W MIEJSCACH CHARAKTERYSTYCZNYCH.</w:t>
      </w:r>
    </w:p>
    <w:p>
      <w:pPr>
        <w:pStyle w:val="Akapitzlist"/>
        <w:ind w:left="400" w:right="0" w:hanging="0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Nawierzchnie chodnikowe będą ukształtowane w dopasowaniu wysokościowym do terenu istniejącego. </w:t>
      </w:r>
    </w:p>
    <w:p>
      <w:pPr>
        <w:pStyle w:val="Akapitzlist"/>
        <w:ind w:left="0" w:right="0" w:hanging="0"/>
        <w:jc w:val="both"/>
        <w:rPr/>
      </w:pPr>
      <w:r>
        <w:rPr/>
      </w:r>
    </w:p>
    <w:p>
      <w:pPr>
        <w:pStyle w:val="Normal"/>
        <w:jc w:val="both"/>
        <w:rPr>
          <w:u w:val="single"/>
        </w:rPr>
      </w:pPr>
      <w:r>
        <w:rPr>
          <w:b/>
          <w:bCs/>
          <w:i w:val="false"/>
          <w:iCs w:val="false"/>
          <w:sz w:val="22"/>
          <w:szCs w:val="22"/>
          <w:u w:val="single"/>
        </w:rPr>
        <w:t>UWAGA: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W rejonie przejść dla pieszych pochylenie nawierzchni chodnika nie powinno przekraczać 5%. 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W rejonie przejścia dla pieszych należy zapewnić właściwe obniżenie krawężnika (jego wysokość nie powinna przekraczać 2cm powyżej nawierzchni jezdni). Zalecane jest zapewnienie wyniesienia na poziomie 1cm.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>Na szerokości przejścia dla pieszych należy wbudować obniżone krawężniki najazdowe (15x22cm).</w:t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iCs/>
          <w:sz w:val="22"/>
          <w:szCs w:val="22"/>
        </w:rPr>
        <w:t>Nawierzchnie ostrzegawcze należy wykonać z kostek betonowych sygnalizacyjnych typu ,,STOP’’ (kostka betonowa z wypustkami, w kolorze kontrastowym – żółtym). Szerokość nawierzchni ostrzegawczej – wg szczegółów konstrukcyjnych.</w:t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0" w:name="__RefHeading___Toc75861325"/>
      <w:bookmarkEnd w:id="20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ZASADNICZYCH ELEMENTÓW WYPOSAŻENIA BUDOWLANO-INSTALACYJNEGO.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Planuje się wykonanie doświetlenia realizowanych przejść dla pieszych.  Zostanie ono przperowadzone poprzez instalację dedykowanych do tego celu lamp typu LED, instalowanych obustronnie w strefach najazdowych.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Zastosowane doświetlenie będzie charakteryzować się natężeniem światła i temperaturą barwową odróżniającą się od istniejącego oświetlenia ulicznego (temperatura barwowa oświetlenia przejścia na poziomie ok. 5700K).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>Zaleca się instalację tzw. inteligentnego systemu aktywnego składającego się z detektorów ruchu, które po zmierzchu aktywują się doświetlając w pełni (do 100% mocy) przejście.</w:t>
      </w:r>
    </w:p>
    <w:p>
      <w:pPr>
        <w:pStyle w:val="Normal"/>
        <w:jc w:val="both"/>
        <w:rPr>
          <w:rFonts w:ascii="Times New Roman" w:hAnsi="Times New Roman" w:eastAsia="Times New Roman" w:cs="Times New Roman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color w:val="auto"/>
          <w:kern w:val="2"/>
          <w:sz w:val="22"/>
          <w:szCs w:val="22"/>
          <w:lang w:val="pl-PL" w:eastAsia="zh-CN" w:bidi="ar-SA"/>
        </w:rPr>
        <w:t xml:space="preserve"> 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Pozostała istniejąca infrastruktura techniczna podziemna – bez zmian.</w:t>
      </w:r>
    </w:p>
    <w:p>
      <w:pPr>
        <w:pStyle w:val="Normal"/>
        <w:jc w:val="both"/>
        <w:rPr/>
      </w:pPr>
      <w:r>
        <w:rPr>
          <w:sz w:val="22"/>
          <w:szCs w:val="22"/>
        </w:rPr>
        <w:t>Odwodnienie nawierzchni –  be zmian, wg stanu istniejącego (kanalizacja deszczowa).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Wszystkie urządzenia zlokalizowane w nawierzchni chodnika lub jezdni tj.; studnie, zasuwy, wpusty każdorazowo podlegają regulacji wysokościowej do rzędnych docelowej warstwy ścieralnej (tj. projektowanego chodnika lub jezdni), jeśli będzie to konieczne dla zachowania wymaganej równości nawierzchni.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/>
      </w:pPr>
      <w:r>
        <w:rPr>
          <w:sz w:val="22"/>
          <w:szCs w:val="22"/>
        </w:rPr>
        <w:t>Instalacja niezbędnych znaków pionowych i poziomych zostanie wykonana na podstawie zatwierdzonego projektu stałej organizacji ruchu  stanowiącego odrębne opracowanie.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1" w:name="__RefHeading___Toc75861326"/>
      <w:bookmarkEnd w:id="21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ROZWIĄZANIA I SPOSÓB FUNKCJONOWANIA ZASADNICZYCH URZĄDZEŃ INSTALACJI TECHNICZNYCH.</w:t>
      </w:r>
    </w:p>
    <w:p>
      <w:pPr>
        <w:pStyle w:val="Normal"/>
        <w:jc w:val="both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Normal"/>
        <w:jc w:val="both"/>
        <w:rPr>
          <w:rFonts w:ascii="Times New Roman" w:hAnsi="Times New Roman" w:eastAsia="Times New Roman" w:cs="Times New Roman"/>
          <w:b w:val="false"/>
          <w:b w:val="false"/>
          <w:bCs w:val="false"/>
          <w:i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</w:pPr>
      <w:r>
        <w:rPr>
          <w:rFonts w:eastAsia="Times New Roman" w:cs="Times New Roman"/>
          <w:b w:val="false"/>
          <w:bCs w:val="false"/>
          <w:i w:val="false"/>
          <w:iCs w:val="false"/>
          <w:color w:val="auto"/>
          <w:kern w:val="2"/>
          <w:sz w:val="22"/>
          <w:szCs w:val="22"/>
          <w:lang w:val="pl-PL" w:eastAsia="zh-CN" w:bidi="ar-SA"/>
        </w:rPr>
        <w:t>Planowane doświetlenie przejść dla pieszych zostanie zasilone z sieci istniejącego oświetlenia drogowego.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Z uwagi na charakter inwestycji, poza w/w doświetleniem przejść nie przewiduje się budowy żadnych dodatkowych instalacji technicznych.</w:t>
      </w:r>
    </w:p>
    <w:p>
      <w:pPr>
        <w:pStyle w:val="Normal"/>
        <w:jc w:val="both"/>
        <w:rPr>
          <w:sz w:val="22"/>
          <w:szCs w:val="22"/>
          <w:highlight w:val="yellow"/>
        </w:rPr>
      </w:pPr>
      <w:r>
        <w:rPr>
          <w:sz w:val="22"/>
          <w:szCs w:val="22"/>
          <w:highlight w:val="yellow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2" w:name="__RefHeading___Toc75861327"/>
      <w:bookmarkEnd w:id="22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DANE TECHNICZNE OBIEKTU CHARAKTERYZUJĄCE JEGO WPŁYW NA ŚRODOWISKO, ZDROWIE LUDZI I OBIEKTY SĄSIEDNIE.</w:t>
      </w:r>
    </w:p>
    <w:p>
      <w:pPr>
        <w:pStyle w:val="Normal"/>
        <w:ind w:left="3540" w:right="0" w:hanging="354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Planowana inwestycja ma charakter nieuciążliwy i nie jest zaliczana do przedsięwzięć mogących znacząco oddziaływać na środowisko naturalne w rozumieniu Rozporządzenia Rady Ministrów z dnia 9.11.2010 w sprawie przedsięwzięć mogących znacząco oddziaływać na środowisko. </w:t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  <w:t>Dane techniczne charakteryzujące wpływ na środowisko, zdrowie ludzi oraz inne obiekty budowlane: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Odwodnienie modernizowanych nawierzchni będzie funkcjonować wg obecnego schematu tj. powierzchniowo. Bez ujemnego wpływu na środowisko gruntowo-wodne.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 xml:space="preserve">Eksploatacja obiektu nie będzie związana z wytwarzaniem odpadów czy emisją zanieczyszczeń gazowych. 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Projektowana inwestycja nie obejmuje obiektów, które mogłyby stanowić znaczące źródło hałasu, zatem nie spowoduje zmian w klimacie akustycznym otoczenia.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Dla projektowanej funkcji obiektu nie występuje związana z jego eksploatacją emisja wibracji czy promieniowania (w tym jonizującego)</w:t>
      </w:r>
    </w:p>
    <w:p>
      <w:pPr>
        <w:pStyle w:val="Normal"/>
        <w:numPr>
          <w:ilvl w:val="0"/>
          <w:numId w:val="5"/>
        </w:numPr>
        <w:ind w:left="709" w:right="0" w:hanging="709"/>
        <w:rPr>
          <w:sz w:val="22"/>
          <w:szCs w:val="22"/>
        </w:rPr>
      </w:pPr>
      <w:r>
        <w:rPr>
          <w:sz w:val="22"/>
          <w:szCs w:val="22"/>
        </w:rPr>
        <w:t>Charakter obiektu budowlanego, jego lokalizacja oraz przeznaczenie nie wpływają na środowisko przyrodnicze (istniejący drzewostan, glebę, wody powierzchniowe/podziemne) czy zdrowie ludzi.</w:t>
      </w:r>
    </w:p>
    <w:p>
      <w:pPr>
        <w:pStyle w:val="Normal"/>
        <w:numPr>
          <w:ilvl w:val="0"/>
          <w:numId w:val="0"/>
        </w:numPr>
        <w:ind w:left="1440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ormal"/>
        <w:ind w:left="709" w:right="0" w:hanging="0"/>
        <w:rPr>
          <w:color w:val="00B050"/>
          <w:sz w:val="22"/>
          <w:szCs w:val="22"/>
        </w:rPr>
      </w:pPr>
      <w:r>
        <w:rPr>
          <w:color w:val="00B050"/>
          <w:sz w:val="22"/>
          <w:szCs w:val="22"/>
        </w:rPr>
      </w:r>
    </w:p>
    <w:p>
      <w:pPr>
        <w:pStyle w:val="Nagwek2"/>
        <w:numPr>
          <w:ilvl w:val="1"/>
          <w:numId w:val="3"/>
        </w:numPr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3" w:name="__RefHeading___Toc75861328"/>
      <w:bookmarkEnd w:id="23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WARUNKI OCHRONY PRZECIWPOŻAROWEJ.</w:t>
      </w:r>
    </w:p>
    <w:p>
      <w:pPr>
        <w:pStyle w:val="Normal"/>
        <w:ind w:left="426" w:right="0" w:hanging="0"/>
        <w:rPr>
          <w:b/>
          <w:b/>
          <w:i/>
          <w:i/>
          <w:iCs/>
          <w:sz w:val="22"/>
          <w:szCs w:val="22"/>
        </w:rPr>
      </w:pPr>
      <w:r>
        <w:rPr>
          <w:b/>
          <w:i/>
          <w:iCs/>
          <w:sz w:val="22"/>
          <w:szCs w:val="22"/>
        </w:rPr>
      </w:r>
    </w:p>
    <w:p>
      <w:pPr>
        <w:pStyle w:val="Akapitzlist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Warunki ochrony przeciwpożarowej obiektów sąsiadujących z modernizowaną ulicą pozostają bez zmian w stosunku do stanu istniejącego. </w:t>
      </w:r>
    </w:p>
    <w:p>
      <w:pPr>
        <w:pStyle w:val="Normal"/>
        <w:ind w:left="426" w:right="0" w:hanging="0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agwek2"/>
        <w:keepNext w:val="true"/>
        <w:widowControl/>
        <w:numPr>
          <w:ilvl w:val="1"/>
          <w:numId w:val="3"/>
        </w:numPr>
        <w:suppressAutoHyphens w:val="true"/>
        <w:bidi w:val="0"/>
        <w:spacing w:before="240" w:after="60"/>
        <w:jc w:val="left"/>
        <w:rPr>
          <w:rFonts w:ascii="Times New Roman" w:hAnsi="Times New Roman" w:cs="Times New Roman"/>
          <w:i w:val="false"/>
          <w:i w:val="false"/>
          <w:iCs w:val="false"/>
          <w:sz w:val="22"/>
          <w:szCs w:val="22"/>
        </w:rPr>
      </w:pPr>
      <w:bookmarkStart w:id="24" w:name="__RefHeading___Toc421_2367410010"/>
      <w:bookmarkEnd w:id="24"/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 xml:space="preserve">  </w:t>
      </w:r>
      <w:r>
        <w:rPr>
          <w:rFonts w:cs="Times New Roman" w:ascii="Times New Roman" w:hAnsi="Times New Roman"/>
          <w:i w:val="false"/>
          <w:iCs w:val="false"/>
          <w:sz w:val="22"/>
          <w:szCs w:val="22"/>
        </w:rPr>
        <w:t>UWAGI OGÓLNE.</w:t>
      </w:r>
    </w:p>
    <w:p>
      <w:pPr>
        <w:pStyle w:val="Normal"/>
        <w:jc w:val="both"/>
        <w:rPr>
          <w:sz w:val="22"/>
          <w:szCs w:val="22"/>
        </w:rPr>
      </w:pPr>
      <w:r>
        <w:rPr>
          <w:sz w:val="22"/>
          <w:szCs w:val="22"/>
        </w:rPr>
      </w:r>
      <w:bookmarkStart w:id="25" w:name="_Hlk41731282"/>
      <w:bookmarkStart w:id="26" w:name="_Hlk41731282"/>
      <w:bookmarkEnd w:id="26"/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 w:val="false"/>
          <w:iCs w:val="false"/>
          <w:sz w:val="22"/>
          <w:szCs w:val="22"/>
        </w:rPr>
        <w:t xml:space="preserve">Każdorazowo w przypadku konieczności prowadzenia jakichkolwiek robót ziemnych (np. wykopy pod  urządzenia infrastruktury podziemnej) </w:t>
      </w:r>
      <w:r>
        <w:rPr>
          <w:b w:val="false"/>
          <w:bCs w:val="false"/>
          <w:sz w:val="22"/>
          <w:szCs w:val="22"/>
        </w:rPr>
        <w:t xml:space="preserve">wymagane są uprzednie przekopy kontrolne, sprawdzające głębokość ułożenia poszczególnych sieci - należy potwierdzać lokalizację infrastruktury podziemnej uwidocznionej na mapie. Każdorazowo roboty budowlane w miejscu przebiegu istniejącego uzbrojenia należy prowadzić ręcznie bez użycia sprzętu mechanicznego.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b w:val="false"/>
          <w:bCs w:val="false"/>
          <w:iCs/>
          <w:sz w:val="22"/>
          <w:szCs w:val="22"/>
        </w:rPr>
        <w:t>Wszystkie roboty budowlane w obrębie infrastruktury podziemnej nale</w:t>
      </w:r>
      <w:r>
        <w:rPr>
          <w:iCs/>
          <w:sz w:val="22"/>
          <w:szCs w:val="22"/>
        </w:rPr>
        <w:t xml:space="preserve">ży prowadzić z zachowaniem należytej ostrożności - dotyczy w szczególności elektroenergetycznych linii kablowych oraz sieci gazowych. </w:t>
      </w:r>
    </w:p>
    <w:p>
      <w:pPr>
        <w:pStyle w:val="Normal"/>
        <w:spacing w:lineRule="auto" w:line="276"/>
        <w:ind w:left="0" w:right="0" w:hanging="0"/>
        <w:jc w:val="both"/>
        <w:rPr/>
      </w:pPr>
      <w:r>
        <w:rPr/>
      </w:r>
    </w:p>
    <w:p>
      <w:pPr>
        <w:pStyle w:val="Normal"/>
        <w:spacing w:lineRule="auto" w:line="276"/>
        <w:ind w:left="0" w:right="0" w:hanging="0"/>
        <w:jc w:val="both"/>
        <w:rPr/>
      </w:pPr>
      <w:r>
        <w:rPr>
          <w:iCs/>
          <w:sz w:val="22"/>
          <w:szCs w:val="22"/>
        </w:rPr>
        <w:t xml:space="preserve">Wszystkie roboty ziemne w rejonie istniejącego uzbrojenia prowadzić po uprzednim powiadomieniu i pod nadzorem właściciela danej sieci. Roboty w rejonie sieci gazowych prowadzić w porozumieniu z Polską Spółką gazownictwa Sp. z o.o Gazownia w Ostrowcu Świętokrzyskim (ul. Sandomierska 95, 27-400 Ostrowiec Świętokrzyski). </w:t>
      </w:r>
    </w:p>
    <w:p>
      <w:pPr>
        <w:pStyle w:val="Normal"/>
        <w:spacing w:lineRule="auto" w:line="276"/>
        <w:ind w:left="0" w:right="0" w:hanging="0"/>
        <w:jc w:val="both"/>
        <w:rPr>
          <w:sz w:val="22"/>
          <w:szCs w:val="22"/>
        </w:rPr>
      </w:pPr>
      <w:r>
        <w:rPr>
          <w:sz w:val="22"/>
          <w:szCs w:val="22"/>
        </w:rPr>
      </w:r>
    </w:p>
    <w:p>
      <w:pPr>
        <w:pStyle w:val="Normal"/>
        <w:spacing w:lineRule="auto" w:line="276"/>
        <w:jc w:val="both"/>
        <w:rPr/>
      </w:pPr>
      <w:r>
        <w:rPr>
          <w:sz w:val="22"/>
          <w:szCs w:val="22"/>
        </w:rPr>
        <w:t xml:space="preserve">W przypadku stwierdzenia sieci na głębokościach nienormatywnych  należy wstrzymać roboty budowlane związane z budową konstrukcji nawierzchni i bezzwłocznie powiadomić o tym fakcie właściciela sieci </w:t>
        <w:br/>
        <w:t xml:space="preserve">(w porozumieniu z gestorem i projektantem należy wówczas ustalić sposób należytego zabezpieczenia bądź likwidacji kolizji). </w:t>
      </w:r>
      <w:r>
        <w:rPr>
          <w:iCs/>
          <w:sz w:val="22"/>
          <w:szCs w:val="22"/>
        </w:rPr>
        <w:t>W przypadku napotkania jakichkolwiek dodatkowych, niezinwentaryzowanych przewodów podziemnych należy ten fakt zgłosić do odpowiedniego gestora / użytkownika sieci.</w:t>
      </w:r>
    </w:p>
    <w:p>
      <w:pPr>
        <w:pStyle w:val="Normal"/>
        <w:spacing w:lineRule="auto" w:line="276"/>
        <w:jc w:val="both"/>
        <w:rPr/>
      </w:pPr>
      <w:r>
        <w:rPr/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  <w:t xml:space="preserve">Poszczególne roboty należy realizować przy zachowaniu zasad określonych we właściwych Specyfikacjach Wykonania i Odbioru Robót Budowlanych. Wszystkie prace należy realizować zgodnie ze sztuką budowlaną, pod nadzorem osoby posiadającej stosowne uprawnienia do kierowania robotami budowlanymi w branży inżynieryjnej drogowej.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</w:t>
      </w:r>
    </w:p>
    <w:p>
      <w:pPr>
        <w:pStyle w:val="Normal"/>
        <w:spacing w:lineRule="auto" w:line="276"/>
        <w:jc w:val="both"/>
        <w:rPr>
          <w:sz w:val="22"/>
          <w:szCs w:val="22"/>
        </w:rPr>
      </w:pPr>
      <w:r>
        <w:rPr>
          <w:sz w:val="22"/>
          <w:szCs w:val="22"/>
        </w:rPr>
        <w:t>W czasie budowy przestrzegać przepisów BHP w zakresie transportu, składowania materiałów, zabezpieczenia wykopów, oznakowania miejsc niebezpiecznych.</w:t>
      </w:r>
    </w:p>
    <w:p>
      <w:pPr>
        <w:pStyle w:val="Normal"/>
        <w:spacing w:lineRule="auto" w:line="276"/>
        <w:jc w:val="both"/>
        <w:rPr>
          <w:iCs/>
          <w:sz w:val="22"/>
          <w:szCs w:val="22"/>
        </w:rPr>
      </w:pPr>
      <w:bookmarkStart w:id="27" w:name="_Hlk417312821"/>
      <w:r>
        <w:rPr>
          <w:iCs/>
          <w:sz w:val="22"/>
          <w:szCs w:val="22"/>
        </w:rPr>
        <w:t>Ewentualne wykopy miejscowe należy odpowiednio oznakować i zabezpieczyć przed osobami postronnymi.</w:t>
      </w:r>
      <w:bookmarkEnd w:id="27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bookmarkStart w:id="28" w:name="_Hlk417312822"/>
      <w:bookmarkStart w:id="29" w:name="_Hlk417312822"/>
      <w:bookmarkEnd w:id="29"/>
    </w:p>
    <w:p>
      <w:pPr>
        <w:pStyle w:val="Normal"/>
        <w:jc w:val="both"/>
        <w:rPr>
          <w:iCs/>
          <w:sz w:val="22"/>
          <w:szCs w:val="22"/>
        </w:rPr>
      </w:pPr>
      <w:r>
        <w:rPr>
          <w:iCs/>
          <w:sz w:val="22"/>
          <w:szCs w:val="22"/>
        </w:rPr>
      </w:r>
      <w:r>
        <w:br w:type="page"/>
      </w:r>
    </w:p>
    <w:p>
      <w:pPr>
        <w:pStyle w:val="Nagwek1"/>
        <w:numPr>
          <w:ilvl w:val="0"/>
          <w:numId w:val="0"/>
        </w:numPr>
        <w:shd w:val="clear" w:fill="8EAADB"/>
        <w:ind w:left="0" w:hanging="0"/>
        <w:jc w:val="center"/>
        <w:rPr/>
      </w:pPr>
      <w:bookmarkStart w:id="30" w:name="__RefHeading___Toc75861330"/>
      <w:bookmarkEnd w:id="30"/>
      <w:r>
        <w:rPr>
          <w:rStyle w:val="Mocnowyrniony"/>
          <w:rFonts w:cs="Times New Roman" w:ascii="Times New Roman" w:hAnsi="Times New Roman"/>
          <w:sz w:val="24"/>
          <w:szCs w:val="24"/>
        </w:rPr>
        <w:t>CZĘŚĆ RYSUNKOWA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ind w:left="3577" w:right="0" w:hanging="0"/>
        <w:rPr>
          <w:b/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agwek2"/>
        <w:numPr>
          <w:ilvl w:val="1"/>
          <w:numId w:val="2"/>
        </w:numPr>
        <w:rPr>
          <w:rFonts w:ascii="Times New Roman" w:hAnsi="Times New Roman"/>
          <w:b w:val="false"/>
          <w:b w:val="false"/>
          <w:bCs w:val="false"/>
          <w:i w:val="false"/>
          <w:i w:val="false"/>
          <w:iCs w:val="false"/>
          <w:sz w:val="24"/>
          <w:szCs w:val="24"/>
        </w:rPr>
      </w:pPr>
      <w:bookmarkStart w:id="31" w:name="__RefHeading___Toc3224_1339427135"/>
      <w:bookmarkEnd w:id="31"/>
      <w:r>
        <w:rPr>
          <w:rFonts w:ascii="Times New Roman" w:hAnsi="Times New Roman"/>
          <w:b w:val="false"/>
          <w:bCs w:val="false"/>
          <w:i w:val="false"/>
          <w:iCs w:val="false"/>
          <w:sz w:val="24"/>
          <w:szCs w:val="24"/>
        </w:rPr>
        <w:t>Szczegóły konstrukcyjne  (rys. nr 3).</w:t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ind w:left="3577" w:right="0" w:hanging="0"/>
        <w:rPr>
          <w:sz w:val="24"/>
          <w:szCs w:val="24"/>
        </w:rPr>
      </w:pPr>
      <w:r>
        <w:rPr>
          <w:sz w:val="24"/>
          <w:szCs w:val="24"/>
        </w:rPr>
      </w:r>
    </w:p>
    <w:p>
      <w:pPr>
        <w:pStyle w:val="Normal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>
          <w:sz w:val="28"/>
          <w:szCs w:val="28"/>
        </w:rPr>
      </w:pPr>
      <w:r>
        <w:rPr>
          <w:sz w:val="28"/>
          <w:szCs w:val="28"/>
        </w:rPr>
      </w:r>
    </w:p>
    <w:p>
      <w:pPr>
        <w:pStyle w:val="Normal"/>
        <w:spacing w:lineRule="auto" w:line="360"/>
        <w:ind w:left="0" w:right="0" w:firstLine="708"/>
        <w:jc w:val="center"/>
        <w:rPr/>
      </w:pPr>
      <w:r>
        <w:rPr/>
      </w:r>
    </w:p>
    <w:sectPr>
      <w:headerReference w:type="default" r:id="rId5"/>
      <w:footerReference w:type="default" r:id="rId6"/>
      <w:type w:val="nextPage"/>
      <w:pgSz w:w="11906" w:h="16838"/>
      <w:pgMar w:left="1417" w:right="1006" w:header="426" w:top="1417" w:footer="708" w:bottom="1560" w:gutter="0"/>
      <w:pgNumType w:start="1"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Calibri Light">
    <w:charset w:val="ee"/>
    <w:family w:val="roman"/>
    <w:pitch w:val="variable"/>
  </w:font>
  <w:font w:name="Calibri">
    <w:charset w:val="ee"/>
    <w:family w:val="roman"/>
    <w:pitch w:val="variable"/>
  </w:font>
  <w:font w:name="Liberation Serif">
    <w:altName w:val="Times New Roman"/>
    <w:charset w:val="ee"/>
    <w:family w:val="swiss"/>
    <w:pitch w:val="variable"/>
  </w:font>
  <w:font w:name="Wingdings">
    <w:charset w:val="ee"/>
    <w:family w:val="roman"/>
    <w:pitch w:val="variable"/>
  </w:font>
  <w:font w:name="Courier New">
    <w:charset w:val="ee"/>
    <w:family w:val="roman"/>
    <w:pitch w:val="variable"/>
  </w:font>
  <w:font w:name="Symbol">
    <w:charset w:val="ee"/>
    <w:family w:val="roman"/>
    <w:pitch w:val="variable"/>
  </w:font>
  <w:font w:name="Arial">
    <w:charset w:val="ee"/>
    <w:family w:val="roman"/>
    <w:pitch w:val="variable"/>
  </w:font>
  <w:font w:name="Tahoma">
    <w:charset w:val="ee"/>
    <w:family w:val="roman"/>
    <w:pitch w:val="variable"/>
  </w:font>
  <w:font w:name="Liberation Mono">
    <w:altName w:val="Courier New"/>
    <w:charset w:val="ee"/>
    <w:family w:val="roman"/>
    <w:pitch w:val="variable"/>
  </w:font>
  <w:font w:name="Liberation Sans">
    <w:altName w:val="Arial"/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opka"/>
      <w:jc w:val="right"/>
      <w:rPr/>
    </w:pPr>
    <w:r>
      <w:rPr/>
      <w:fldChar w:fldCharType="begin"/>
    </w:r>
    <w:r>
      <w:rPr/>
      <w:instrText> PAGE </w:instrText>
    </w:r>
    <w:r>
      <w:rPr/>
      <w:fldChar w:fldCharType="separate"/>
    </w:r>
    <w:r>
      <w:rPr/>
      <w:t>18</w:t>
    </w:r>
    <w:r>
      <w:rPr/>
      <w:fldChar w:fldCharType="end"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Gwka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Nagwek1"/>
      <w:numFmt w:val="decimal"/>
      <w:suff w:val="nothing"/>
      <w:lvlText w:val="%1."/>
      <w:lvlJc w:val="left"/>
      <w:pPr>
        <w:ind w:left="0" w:hanging="0"/>
      </w:pPr>
    </w:lvl>
    <w:lvl w:ilvl="1">
      <w:start w:val="1"/>
      <w:pStyle w:val="Nagwek2"/>
      <w:numFmt w:val="decimal"/>
      <w:lvlText w:val="%2."/>
      <w:lvlJc w:val="left"/>
      <w:pPr>
        <w:ind w:left="0" w:hanging="0"/>
      </w:pPr>
    </w:lvl>
    <w:lvl w:ilvl="2">
      <w:start w:val="1"/>
      <w:pStyle w:val="Nagwek3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pStyle w:val="Nagwek5"/>
      <w:numFmt w:val="none"/>
      <w:suff w:val="nothing"/>
      <w:lvlText w:val=""/>
      <w:lvlJc w:val="left"/>
      <w:pPr>
        <w:ind w:left="0" w:hanging="0"/>
      </w:pPr>
    </w:lvl>
    <w:lvl w:ilvl="5">
      <w:start w:val="1"/>
      <w:pStyle w:val="Nagwek6"/>
      <w:numFmt w:val="none"/>
      <w:suff w:val="nothing"/>
      <w:lvlText w:val=""/>
      <w:lvlJc w:val="left"/>
      <w:pPr>
        <w:ind w:left="0" w:hanging="0"/>
      </w:pPr>
    </w:lvl>
    <w:lvl w:ilvl="6">
      <w:start w:val="1"/>
      <w:pStyle w:val="Nagwek7"/>
      <w:numFmt w:val="none"/>
      <w:suff w:val="nothing"/>
      <w:lvlText w:val=""/>
      <w:lvlJc w:val="left"/>
      <w:pPr>
        <w:ind w:left="0" w:hanging="0"/>
      </w:pPr>
    </w:lvl>
    <w:lvl w:ilvl="7">
      <w:start w:val="1"/>
      <w:pStyle w:val="Nagwek8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2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3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4">
    <w:lvl w:ilvl="0">
      <w:start w:val="1"/>
      <w:numFmt w:val="decimal"/>
      <w:suff w:val="nothing"/>
      <w:lvlText w:val="%1."/>
      <w:lvlJc w:val="left"/>
      <w:pPr>
        <w:ind w:left="0" w:hanging="0"/>
      </w:pPr>
    </w:lvl>
    <w:lvl w:ilvl="1">
      <w:start w:val="1"/>
      <w:numFmt w:val="decimal"/>
      <w:lvlText w:val="%2.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abstractNum w:abstractNumId="5">
    <w:lvl w:ilvl="0">
      <w:start w:val="1"/>
      <w:numFmt w:val="bullet"/>
      <w:lvlText w:val=""/>
      <w:lvlJc w:val="left"/>
      <w:pPr>
        <w:ind w:left="1440" w:hanging="360"/>
      </w:pPr>
      <w:rPr>
        <w:rFonts w:ascii="Symbol" w:hAnsi="Symbol" w:cs="Symbol" w:hint="default"/>
        <w:sz w:val="22"/>
        <w:b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1433"/>
        </w:tabs>
        <w:ind w:left="1433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9"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>
    <w:lvl w:ilvl="0">
      <w:start w:val="1"/>
      <w:numFmt w:val="bullet"/>
      <w:lvlText w:val=""/>
      <w:lvlJc w:val="left"/>
      <w:pPr>
        <w:ind w:left="862" w:hanging="360"/>
      </w:pPr>
      <w:rPr>
        <w:rFonts w:ascii="Symbol" w:hAnsi="Symbol" w:cs="Symbol" w:hint="default"/>
        <w:sz w:val="24"/>
        <w:szCs w:val="24"/>
        <w:rFonts w:cs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</w:numbering>
</file>

<file path=word/settings.xml><?xml version="1.0" encoding="utf-8"?>
<w:settings xmlns:w="http://schemas.openxmlformats.org/wordprocessingml/2006/main">
  <w:zoom w:percent="100"/>
  <w:defaultTabStop w:val="709"/>
  <w:autoHyphenation w:val="false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NSimSun" w:cs="Arial"/>
        <w:sz w:val="24"/>
        <w:szCs w:val="24"/>
        <w:lang w:val="pl-PL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suppressAutoHyphens w:val="true"/>
      <w:bidi w:val="0"/>
      <w:jc w:val="left"/>
    </w:pPr>
    <w:rPr>
      <w:rFonts w:ascii="Times New Roman" w:hAnsi="Times New Roman" w:eastAsia="Times New Roman" w:cs="Times New Roman"/>
      <w:color w:val="auto"/>
      <w:kern w:val="2"/>
      <w:sz w:val="20"/>
      <w:szCs w:val="20"/>
      <w:lang w:val="pl-PL" w:eastAsia="zh-CN" w:bidi="ar-SA"/>
    </w:rPr>
  </w:style>
  <w:style w:type="paragraph" w:styleId="Nagwek1">
    <w:name w:val="Heading 1"/>
    <w:basedOn w:val="Normal"/>
    <w:next w:val="Normal"/>
    <w:qFormat/>
    <w:pPr>
      <w:keepNext w:val="true"/>
      <w:numPr>
        <w:ilvl w:val="0"/>
        <w:numId w:val="1"/>
      </w:numPr>
      <w:spacing w:before="240" w:after="60"/>
      <w:outlineLvl w:val="0"/>
    </w:pPr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paragraph" w:styleId="Nagwek2">
    <w:name w:val="Heading 2"/>
    <w:basedOn w:val="Normal"/>
    <w:next w:val="Normal"/>
    <w:qFormat/>
    <w:pPr>
      <w:keepNext w:val="true"/>
      <w:numPr>
        <w:ilvl w:val="1"/>
        <w:numId w:val="1"/>
      </w:numPr>
      <w:spacing w:before="240" w:after="60"/>
      <w:outlineLvl w:val="1"/>
    </w:pPr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paragraph" w:styleId="Nagwek3">
    <w:name w:val="Heading 3"/>
    <w:basedOn w:val="Nagwek"/>
    <w:next w:val="Tretekstu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Nagwek5">
    <w:name w:val="Heading 5"/>
    <w:basedOn w:val="Normal"/>
    <w:next w:val="Normal"/>
    <w:qFormat/>
    <w:pPr>
      <w:numPr>
        <w:ilvl w:val="4"/>
        <w:numId w:val="1"/>
      </w:numPr>
      <w:spacing w:before="240" w:after="60"/>
      <w:ind w:left="417" w:right="0" w:hanging="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"/>
    <w:next w:val="Normal"/>
    <w:qFormat/>
    <w:pPr>
      <w:numPr>
        <w:ilvl w:val="5"/>
        <w:numId w:val="1"/>
      </w:numPr>
      <w:spacing w:before="240" w:after="60"/>
      <w:outlineLvl w:val="5"/>
    </w:pPr>
    <w:rPr>
      <w:rFonts w:ascii="Calibri" w:hAnsi="Calibri" w:eastAsia="Times New Roman" w:cs="Times New Roman"/>
      <w:b/>
      <w:bCs/>
      <w:sz w:val="22"/>
      <w:szCs w:val="22"/>
    </w:rPr>
  </w:style>
  <w:style w:type="paragraph" w:styleId="Nagwek7">
    <w:name w:val="Heading 7"/>
    <w:basedOn w:val="Nagwek"/>
    <w:next w:val="Tretekstu"/>
    <w:qFormat/>
    <w:pPr>
      <w:widowControl w:val="false"/>
      <w:numPr>
        <w:ilvl w:val="6"/>
        <w:numId w:val="1"/>
      </w:numPr>
      <w:bidi w:val="0"/>
      <w:spacing w:before="60" w:after="60"/>
      <w:jc w:val="left"/>
      <w:outlineLvl w:val="6"/>
    </w:pPr>
    <w:rPr>
      <w:rFonts w:ascii="Liberation Serif" w:hAnsi="Liberation Serif" w:eastAsia="NSimSun" w:cs="Arial"/>
      <w:b/>
      <w:bCs/>
      <w:color w:val="auto"/>
      <w:kern w:val="0"/>
      <w:sz w:val="22"/>
      <w:szCs w:val="22"/>
      <w:lang w:val="pl-PL" w:eastAsia="zh-CN" w:bidi="hi-IN"/>
    </w:rPr>
  </w:style>
  <w:style w:type="paragraph" w:styleId="Nagwek8">
    <w:name w:val="Heading 8"/>
    <w:basedOn w:val="Nagwek"/>
    <w:next w:val="Tretekstu"/>
    <w:qFormat/>
    <w:pPr>
      <w:widowControl w:val="false"/>
      <w:numPr>
        <w:ilvl w:val="7"/>
        <w:numId w:val="1"/>
      </w:numPr>
      <w:bidi w:val="0"/>
      <w:spacing w:before="60" w:after="60"/>
      <w:jc w:val="left"/>
      <w:outlineLvl w:val="7"/>
    </w:pPr>
    <w:rPr>
      <w:rFonts w:ascii="Liberation Serif" w:hAnsi="Liberation Serif" w:eastAsia="NSimSun" w:cs="Arial"/>
      <w:b/>
      <w:bCs/>
      <w:i/>
      <w:iCs/>
      <w:color w:val="auto"/>
      <w:kern w:val="0"/>
      <w:sz w:val="22"/>
      <w:szCs w:val="22"/>
      <w:lang w:val="pl-PL" w:eastAsia="zh-CN" w:bidi="hi-IN"/>
    </w:rPr>
  </w:style>
  <w:style w:type="character" w:styleId="WW8Num1z0">
    <w:name w:val="WW8Num1z0"/>
    <w:qFormat/>
    <w:rPr/>
  </w:style>
  <w:style w:type="character" w:styleId="WW8Num1z1">
    <w:name w:val="WW8Num1z1"/>
    <w:qFormat/>
    <w:rPr/>
  </w:style>
  <w:style w:type="character" w:styleId="WW8Num1z2">
    <w:name w:val="WW8Num1z2"/>
    <w:qFormat/>
    <w:rPr/>
  </w:style>
  <w:style w:type="character" w:styleId="WW8Num1z3">
    <w:name w:val="WW8Num1z3"/>
    <w:qFormat/>
    <w:rPr/>
  </w:style>
  <w:style w:type="character" w:styleId="WW8Num1z4">
    <w:name w:val="WW8Num1z4"/>
    <w:qFormat/>
    <w:rPr/>
  </w:style>
  <w:style w:type="character" w:styleId="WW8Num1z5">
    <w:name w:val="WW8Num1z5"/>
    <w:qFormat/>
    <w:rPr/>
  </w:style>
  <w:style w:type="character" w:styleId="WW8Num1z6">
    <w:name w:val="WW8Num1z6"/>
    <w:qFormat/>
    <w:rPr/>
  </w:style>
  <w:style w:type="character" w:styleId="WW8Num1z7">
    <w:name w:val="WW8Num1z7"/>
    <w:qFormat/>
    <w:rPr/>
  </w:style>
  <w:style w:type="character" w:styleId="WW8Num1z8">
    <w:name w:val="WW8Num1z8"/>
    <w:qFormat/>
    <w:rPr/>
  </w:style>
  <w:style w:type="character" w:styleId="WW8Num2z0">
    <w:name w:val="WW8Num2z0"/>
    <w:qFormat/>
    <w:rPr>
      <w:sz w:val="24"/>
      <w:szCs w:val="24"/>
    </w:rPr>
  </w:style>
  <w:style w:type="character" w:styleId="WW8Num3z0">
    <w:name w:val="WW8Num3z0"/>
    <w:qFormat/>
    <w:rPr>
      <w:rFonts w:ascii="Wingdings" w:hAnsi="Wingdings" w:cs="Wingdings"/>
    </w:rPr>
  </w:style>
  <w:style w:type="character" w:styleId="WW8Num3z1">
    <w:name w:val="WW8Num3z1"/>
    <w:qFormat/>
    <w:rPr>
      <w:rFonts w:ascii="Courier New" w:hAnsi="Courier New" w:cs="Courier New"/>
    </w:rPr>
  </w:style>
  <w:style w:type="character" w:styleId="WW8Num3z3">
    <w:name w:val="WW8Num3z3"/>
    <w:qFormat/>
    <w:rPr>
      <w:rFonts w:ascii="Symbol" w:hAnsi="Symbol" w:cs="Symbol"/>
    </w:rPr>
  </w:style>
  <w:style w:type="character" w:styleId="WW8Num4z0">
    <w:name w:val="WW8Num4z0"/>
    <w:qFormat/>
    <w:rPr/>
  </w:style>
  <w:style w:type="character" w:styleId="WW8Num5z0">
    <w:name w:val="WW8Num5z0"/>
    <w:qFormat/>
    <w:rPr/>
  </w:style>
  <w:style w:type="character" w:styleId="WW8Num6z0">
    <w:name w:val="WW8Num6z0"/>
    <w:qFormat/>
    <w:rPr>
      <w:rFonts w:ascii="Arial" w:hAnsi="Arial" w:cs="Arial"/>
      <w:b/>
      <w:i w:val="false"/>
      <w:sz w:val="24"/>
      <w:u w:val="none"/>
    </w:rPr>
  </w:style>
  <w:style w:type="character" w:styleId="WW8Num7z0">
    <w:name w:val="WW8Num7z0"/>
    <w:qFormat/>
    <w:rPr>
      <w:rFonts w:ascii="Symbol" w:hAnsi="Symbol" w:cs="Symbol"/>
      <w:sz w:val="24"/>
      <w:szCs w:val="24"/>
    </w:rPr>
  </w:style>
  <w:style w:type="character" w:styleId="WW8Num8z0">
    <w:name w:val="WW8Num8z0"/>
    <w:qFormat/>
    <w:rPr>
      <w:rFonts w:ascii="Symbol" w:hAnsi="Symbol" w:cs="Symbol"/>
      <w:sz w:val="24"/>
      <w:szCs w:val="24"/>
    </w:rPr>
  </w:style>
  <w:style w:type="character" w:styleId="WW8Num9z0">
    <w:name w:val="WW8Num9z0"/>
    <w:qFormat/>
    <w:rPr/>
  </w:style>
  <w:style w:type="character" w:styleId="WW8Num10z0">
    <w:name w:val="WW8Num10z0"/>
    <w:qFormat/>
    <w:rPr>
      <w:rFonts w:ascii="Times New Roman" w:hAnsi="Times New Roman" w:cs="Times New Roman"/>
      <w:b/>
      <w:sz w:val="28"/>
      <w:szCs w:val="24"/>
    </w:rPr>
  </w:style>
  <w:style w:type="character" w:styleId="WW8Num10z1">
    <w:name w:val="WW8Num10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0z2">
    <w:name w:val="WW8Num10z2"/>
    <w:qFormat/>
    <w:rPr/>
  </w:style>
  <w:style w:type="character" w:styleId="WW8Num10z3">
    <w:name w:val="WW8Num10z3"/>
    <w:qFormat/>
    <w:rPr/>
  </w:style>
  <w:style w:type="character" w:styleId="WW8Num10z4">
    <w:name w:val="WW8Num10z4"/>
    <w:qFormat/>
    <w:rPr/>
  </w:style>
  <w:style w:type="character" w:styleId="WW8Num10z5">
    <w:name w:val="WW8Num10z5"/>
    <w:qFormat/>
    <w:rPr/>
  </w:style>
  <w:style w:type="character" w:styleId="WW8Num10z6">
    <w:name w:val="WW8Num10z6"/>
    <w:qFormat/>
    <w:rPr/>
  </w:style>
  <w:style w:type="character" w:styleId="WW8Num10z7">
    <w:name w:val="WW8Num10z7"/>
    <w:qFormat/>
    <w:rPr/>
  </w:style>
  <w:style w:type="character" w:styleId="WW8Num10z8">
    <w:name w:val="WW8Num10z8"/>
    <w:qFormat/>
    <w:rPr/>
  </w:style>
  <w:style w:type="character" w:styleId="WW8Num11z0">
    <w:name w:val="WW8Num11z0"/>
    <w:qFormat/>
    <w:rPr>
      <w:rFonts w:ascii="Symbol" w:hAnsi="Symbol" w:cs="Symbol"/>
      <w:sz w:val="24"/>
      <w:szCs w:val="24"/>
    </w:rPr>
  </w:style>
  <w:style w:type="character" w:styleId="WW8Num12z0">
    <w:name w:val="WW8Num12z0"/>
    <w:qFormat/>
    <w:rPr>
      <w:rFonts w:ascii="Symbol" w:hAnsi="Symbol" w:cs="Symbol"/>
      <w:sz w:val="24"/>
      <w:szCs w:val="24"/>
    </w:rPr>
  </w:style>
  <w:style w:type="character" w:styleId="WW8Num13z0">
    <w:name w:val="WW8Num13z0"/>
    <w:qFormat/>
    <w:rPr>
      <w:rFonts w:ascii="Symbol" w:hAnsi="Symbol" w:cs="Symbol"/>
      <w:sz w:val="24"/>
      <w:szCs w:val="24"/>
    </w:rPr>
  </w:style>
  <w:style w:type="character" w:styleId="WW8Num14z0">
    <w:name w:val="WW8Num14z0"/>
    <w:qFormat/>
    <w:rPr>
      <w:rFonts w:ascii="Symbol" w:hAnsi="Symbol" w:cs="Symbol"/>
      <w:sz w:val="24"/>
      <w:szCs w:val="24"/>
    </w:rPr>
  </w:style>
  <w:style w:type="character" w:styleId="WW8Num11z1">
    <w:name w:val="WW8Num11z1"/>
    <w:qFormat/>
    <w:rPr>
      <w:rFonts w:ascii="Times New Roman" w:hAnsi="Times New Roman" w:cs="Times New Roman"/>
      <w:b/>
      <w:bCs w:val="false"/>
      <w:sz w:val="28"/>
      <w:szCs w:val="24"/>
    </w:rPr>
  </w:style>
  <w:style w:type="character" w:styleId="WW8Num11z2">
    <w:name w:val="WW8Num11z2"/>
    <w:qFormat/>
    <w:rPr/>
  </w:style>
  <w:style w:type="character" w:styleId="WW8Num11z3">
    <w:name w:val="WW8Num11z3"/>
    <w:qFormat/>
    <w:rPr/>
  </w:style>
  <w:style w:type="character" w:styleId="WW8Num11z4">
    <w:name w:val="WW8Num11z4"/>
    <w:qFormat/>
    <w:rPr/>
  </w:style>
  <w:style w:type="character" w:styleId="WW8Num11z5">
    <w:name w:val="WW8Num11z5"/>
    <w:qFormat/>
    <w:rPr/>
  </w:style>
  <w:style w:type="character" w:styleId="WW8Num11z6">
    <w:name w:val="WW8Num11z6"/>
    <w:qFormat/>
    <w:rPr/>
  </w:style>
  <w:style w:type="character" w:styleId="WW8Num11z7">
    <w:name w:val="WW8Num11z7"/>
    <w:qFormat/>
    <w:rPr/>
  </w:style>
  <w:style w:type="character" w:styleId="WW8Num11z8">
    <w:name w:val="WW8Num11z8"/>
    <w:qFormat/>
    <w:rPr/>
  </w:style>
  <w:style w:type="character" w:styleId="WW8Num15z0">
    <w:name w:val="WW8Num15z0"/>
    <w:qFormat/>
    <w:rPr>
      <w:rFonts w:ascii="Symbol" w:hAnsi="Symbol" w:cs="Symbol"/>
      <w:sz w:val="24"/>
      <w:szCs w:val="24"/>
    </w:rPr>
  </w:style>
  <w:style w:type="character" w:styleId="WW8Num16z0">
    <w:name w:val="WW8Num16z0"/>
    <w:qFormat/>
    <w:rPr>
      <w:rFonts w:ascii="Symbol" w:hAnsi="Symbol" w:cs="Symbol"/>
      <w:sz w:val="24"/>
      <w:szCs w:val="24"/>
    </w:rPr>
  </w:style>
  <w:style w:type="character" w:styleId="Domylnaczcionkaakapitu">
    <w:name w:val="Domyślna czcionka akapitu"/>
    <w:qFormat/>
    <w:rPr/>
  </w:style>
  <w:style w:type="character" w:styleId="WW8Num17z0">
    <w:name w:val="WW8Num17z0"/>
    <w:qFormat/>
    <w:rPr>
      <w:rFonts w:ascii="Symbol" w:hAnsi="Symbol" w:cs="Symbol"/>
    </w:rPr>
  </w:style>
  <w:style w:type="character" w:styleId="Domylnaczcionkaakapitu5">
    <w:name w:val="Domyślna czcionka akapitu5"/>
    <w:qFormat/>
    <w:rPr/>
  </w:style>
  <w:style w:type="character" w:styleId="WW8Num14z1">
    <w:name w:val="WW8Num14z1"/>
    <w:qFormat/>
    <w:rPr>
      <w:rFonts w:ascii="Courier New" w:hAnsi="Courier New" w:cs="Courier New"/>
    </w:rPr>
  </w:style>
  <w:style w:type="character" w:styleId="WW8Num14z2">
    <w:name w:val="WW8Num14z2"/>
    <w:qFormat/>
    <w:rPr>
      <w:rFonts w:ascii="Wingdings" w:hAnsi="Wingdings" w:cs="Wingdings"/>
    </w:rPr>
  </w:style>
  <w:style w:type="character" w:styleId="WW8Num15z1">
    <w:name w:val="WW8Num15z1"/>
    <w:qFormat/>
    <w:rPr>
      <w:rFonts w:ascii="Courier New" w:hAnsi="Courier New" w:cs="Courier New"/>
    </w:rPr>
  </w:style>
  <w:style w:type="character" w:styleId="WW8Num15z2">
    <w:name w:val="WW8Num15z2"/>
    <w:qFormat/>
    <w:rPr>
      <w:rFonts w:ascii="Wingdings" w:hAnsi="Wingdings" w:cs="Wingdings"/>
    </w:rPr>
  </w:style>
  <w:style w:type="character" w:styleId="WW8Num16z1">
    <w:name w:val="WW8Num16z1"/>
    <w:qFormat/>
    <w:rPr>
      <w:rFonts w:ascii="Courier New" w:hAnsi="Courier New" w:cs="Courier New"/>
    </w:rPr>
  </w:style>
  <w:style w:type="character" w:styleId="WW8Num16z2">
    <w:name w:val="WW8Num16z2"/>
    <w:qFormat/>
    <w:rPr>
      <w:rFonts w:ascii="Wingdings" w:hAnsi="Wingdings" w:cs="Wingdings"/>
    </w:rPr>
  </w:style>
  <w:style w:type="character" w:styleId="WW8Num17z1">
    <w:name w:val="WW8Num17z1"/>
    <w:qFormat/>
    <w:rPr>
      <w:rFonts w:ascii="Courier New" w:hAnsi="Courier New" w:cs="Courier New"/>
    </w:rPr>
  </w:style>
  <w:style w:type="character" w:styleId="WW8Num17z2">
    <w:name w:val="WW8Num17z2"/>
    <w:qFormat/>
    <w:rPr>
      <w:rFonts w:ascii="Wingdings" w:hAnsi="Wingdings" w:cs="Wingdings"/>
    </w:rPr>
  </w:style>
  <w:style w:type="character" w:styleId="WW8Num18z0">
    <w:name w:val="WW8Num18z0"/>
    <w:qFormat/>
    <w:rPr>
      <w:rFonts w:ascii="Symbol" w:hAnsi="Symbol" w:cs="Symbol"/>
    </w:rPr>
  </w:style>
  <w:style w:type="character" w:styleId="WW8Num18z1">
    <w:name w:val="WW8Num18z1"/>
    <w:qFormat/>
    <w:rPr>
      <w:rFonts w:ascii="Courier New" w:hAnsi="Courier New" w:cs="Courier New"/>
    </w:rPr>
  </w:style>
  <w:style w:type="character" w:styleId="WW8Num18z2">
    <w:name w:val="WW8Num18z2"/>
    <w:qFormat/>
    <w:rPr>
      <w:rFonts w:ascii="Wingdings" w:hAnsi="Wingdings" w:cs="Wingdings"/>
    </w:rPr>
  </w:style>
  <w:style w:type="character" w:styleId="WW8Num19z0">
    <w:name w:val="WW8Num19z0"/>
    <w:qFormat/>
    <w:rPr>
      <w:rFonts w:ascii="Symbol" w:hAnsi="Symbol" w:cs="Symbol"/>
    </w:rPr>
  </w:style>
  <w:style w:type="character" w:styleId="WW8Num19z1">
    <w:name w:val="WW8Num19z1"/>
    <w:qFormat/>
    <w:rPr>
      <w:rFonts w:ascii="Courier New" w:hAnsi="Courier New" w:cs="Courier New"/>
    </w:rPr>
  </w:style>
  <w:style w:type="character" w:styleId="WW8Num19z2">
    <w:name w:val="WW8Num19z2"/>
    <w:qFormat/>
    <w:rPr>
      <w:rFonts w:ascii="Wingdings" w:hAnsi="Wingdings" w:cs="Wingdings"/>
    </w:rPr>
  </w:style>
  <w:style w:type="character" w:styleId="Domylnaczcionkaakapitu4">
    <w:name w:val="Domyślna czcionka akapitu4"/>
    <w:qFormat/>
    <w:rPr/>
  </w:style>
  <w:style w:type="character" w:styleId="WW8Num14z3">
    <w:name w:val="WW8Num14z3"/>
    <w:qFormat/>
    <w:rPr>
      <w:rFonts w:ascii="Symbol" w:hAnsi="Symbol" w:cs="Symbol"/>
    </w:rPr>
  </w:style>
  <w:style w:type="character" w:styleId="WW8Num4z1">
    <w:name w:val="WW8Num4z1"/>
    <w:qFormat/>
    <w:rPr>
      <w:rFonts w:ascii="Courier New" w:hAnsi="Courier New" w:cs="Courier New"/>
    </w:rPr>
  </w:style>
  <w:style w:type="character" w:styleId="WW8Num4z3">
    <w:name w:val="WW8Num4z3"/>
    <w:qFormat/>
    <w:rPr>
      <w:rFonts w:ascii="Symbol" w:hAnsi="Symbol" w:cs="Symbol"/>
    </w:rPr>
  </w:style>
  <w:style w:type="character" w:styleId="WW8Num6z1">
    <w:name w:val="WW8Num6z1"/>
    <w:qFormat/>
    <w:rPr/>
  </w:style>
  <w:style w:type="character" w:styleId="WW8Num6z2">
    <w:name w:val="WW8Num6z2"/>
    <w:qFormat/>
    <w:rPr/>
  </w:style>
  <w:style w:type="character" w:styleId="WW8Num6z3">
    <w:name w:val="WW8Num6z3"/>
    <w:qFormat/>
    <w:rPr>
      <w:rFonts w:ascii="Arial" w:hAnsi="Arial" w:cs="Arial"/>
      <w:b/>
      <w:sz w:val="22"/>
      <w:szCs w:val="22"/>
    </w:rPr>
  </w:style>
  <w:style w:type="character" w:styleId="WW8Num6z4">
    <w:name w:val="WW8Num6z4"/>
    <w:qFormat/>
    <w:rPr/>
  </w:style>
  <w:style w:type="character" w:styleId="WW8Num6z5">
    <w:name w:val="WW8Num6z5"/>
    <w:qFormat/>
    <w:rPr/>
  </w:style>
  <w:style w:type="character" w:styleId="WW8Num6z6">
    <w:name w:val="WW8Num6z6"/>
    <w:qFormat/>
    <w:rPr/>
  </w:style>
  <w:style w:type="character" w:styleId="WW8Num6z7">
    <w:name w:val="WW8Num6z7"/>
    <w:qFormat/>
    <w:rPr/>
  </w:style>
  <w:style w:type="character" w:styleId="WW8Num6z8">
    <w:name w:val="WW8Num6z8"/>
    <w:qFormat/>
    <w:rPr/>
  </w:style>
  <w:style w:type="character" w:styleId="WW8Num14z4">
    <w:name w:val="WW8Num14z4"/>
    <w:qFormat/>
    <w:rPr/>
  </w:style>
  <w:style w:type="character" w:styleId="WW8Num14z5">
    <w:name w:val="WW8Num14z5"/>
    <w:qFormat/>
    <w:rPr/>
  </w:style>
  <w:style w:type="character" w:styleId="WW8Num14z6">
    <w:name w:val="WW8Num14z6"/>
    <w:qFormat/>
    <w:rPr/>
  </w:style>
  <w:style w:type="character" w:styleId="WW8Num14z7">
    <w:name w:val="WW8Num14z7"/>
    <w:qFormat/>
    <w:rPr/>
  </w:style>
  <w:style w:type="character" w:styleId="WW8Num14z8">
    <w:name w:val="WW8Num14z8"/>
    <w:qFormat/>
    <w:rPr/>
  </w:style>
  <w:style w:type="character" w:styleId="WW8Num18z3">
    <w:name w:val="WW8Num18z3"/>
    <w:qFormat/>
    <w:rPr/>
  </w:style>
  <w:style w:type="character" w:styleId="WW8Num18z4">
    <w:name w:val="WW8Num18z4"/>
    <w:qFormat/>
    <w:rPr/>
  </w:style>
  <w:style w:type="character" w:styleId="WW8Num18z5">
    <w:name w:val="WW8Num18z5"/>
    <w:qFormat/>
    <w:rPr/>
  </w:style>
  <w:style w:type="character" w:styleId="WW8Num18z6">
    <w:name w:val="WW8Num18z6"/>
    <w:qFormat/>
    <w:rPr/>
  </w:style>
  <w:style w:type="character" w:styleId="WW8Num18z7">
    <w:name w:val="WW8Num18z7"/>
    <w:qFormat/>
    <w:rPr/>
  </w:style>
  <w:style w:type="character" w:styleId="WW8Num18z8">
    <w:name w:val="WW8Num18z8"/>
    <w:qFormat/>
    <w:rPr/>
  </w:style>
  <w:style w:type="character" w:styleId="WW8Num19z3">
    <w:name w:val="WW8Num19z3"/>
    <w:qFormat/>
    <w:rPr/>
  </w:style>
  <w:style w:type="character" w:styleId="WW8Num19z4">
    <w:name w:val="WW8Num19z4"/>
    <w:qFormat/>
    <w:rPr/>
  </w:style>
  <w:style w:type="character" w:styleId="WW8Num19z5">
    <w:name w:val="WW8Num19z5"/>
    <w:qFormat/>
    <w:rPr/>
  </w:style>
  <w:style w:type="character" w:styleId="WW8Num19z6">
    <w:name w:val="WW8Num19z6"/>
    <w:qFormat/>
    <w:rPr/>
  </w:style>
  <w:style w:type="character" w:styleId="WW8Num19z7">
    <w:name w:val="WW8Num19z7"/>
    <w:qFormat/>
    <w:rPr/>
  </w:style>
  <w:style w:type="character" w:styleId="WW8Num19z8">
    <w:name w:val="WW8Num19z8"/>
    <w:qFormat/>
    <w:rPr/>
  </w:style>
  <w:style w:type="character" w:styleId="Domylnaczcionkaakapitu3">
    <w:name w:val="Domyślna czcionka akapitu3"/>
    <w:qFormat/>
    <w:rPr/>
  </w:style>
  <w:style w:type="character" w:styleId="WW8Num7z1">
    <w:name w:val="WW8Num7z1"/>
    <w:qFormat/>
    <w:rPr/>
  </w:style>
  <w:style w:type="character" w:styleId="WW8Num7z2">
    <w:name w:val="WW8Num7z2"/>
    <w:qFormat/>
    <w:rPr/>
  </w:style>
  <w:style w:type="character" w:styleId="WW8Num7z3">
    <w:name w:val="WW8Num7z3"/>
    <w:qFormat/>
    <w:rPr>
      <w:rFonts w:ascii="Arial" w:hAnsi="Arial" w:cs="Arial"/>
      <w:b/>
      <w:sz w:val="22"/>
      <w:szCs w:val="22"/>
    </w:rPr>
  </w:style>
  <w:style w:type="character" w:styleId="WW8Num7z4">
    <w:name w:val="WW8Num7z4"/>
    <w:qFormat/>
    <w:rPr/>
  </w:style>
  <w:style w:type="character" w:styleId="WW8Num7z5">
    <w:name w:val="WW8Num7z5"/>
    <w:qFormat/>
    <w:rPr/>
  </w:style>
  <w:style w:type="character" w:styleId="WW8Num7z6">
    <w:name w:val="WW8Num7z6"/>
    <w:qFormat/>
    <w:rPr/>
  </w:style>
  <w:style w:type="character" w:styleId="WW8Num7z7">
    <w:name w:val="WW8Num7z7"/>
    <w:qFormat/>
    <w:rPr/>
  </w:style>
  <w:style w:type="character" w:styleId="WW8Num7z8">
    <w:name w:val="WW8Num7z8"/>
    <w:qFormat/>
    <w:rPr/>
  </w:style>
  <w:style w:type="character" w:styleId="WW8Num15z3">
    <w:name w:val="WW8Num15z3"/>
    <w:qFormat/>
    <w:rPr/>
  </w:style>
  <w:style w:type="character" w:styleId="WW8Num15z4">
    <w:name w:val="WW8Num15z4"/>
    <w:qFormat/>
    <w:rPr/>
  </w:style>
  <w:style w:type="character" w:styleId="WW8Num15z5">
    <w:name w:val="WW8Num15z5"/>
    <w:qFormat/>
    <w:rPr/>
  </w:style>
  <w:style w:type="character" w:styleId="WW8Num15z6">
    <w:name w:val="WW8Num15z6"/>
    <w:qFormat/>
    <w:rPr/>
  </w:style>
  <w:style w:type="character" w:styleId="WW8Num15z7">
    <w:name w:val="WW8Num15z7"/>
    <w:qFormat/>
    <w:rPr/>
  </w:style>
  <w:style w:type="character" w:styleId="WW8Num15z8">
    <w:name w:val="WW8Num15z8"/>
    <w:qFormat/>
    <w:rPr/>
  </w:style>
  <w:style w:type="character" w:styleId="Domylnaczcionkaakapitu2">
    <w:name w:val="Domyślna czcionka akapitu2"/>
    <w:qFormat/>
    <w:rPr/>
  </w:style>
  <w:style w:type="character" w:styleId="WW8Num2z1">
    <w:name w:val="WW8Num2z1"/>
    <w:qFormat/>
    <w:rPr>
      <w:rFonts w:ascii="Courier New" w:hAnsi="Courier New" w:cs="Courier New"/>
    </w:rPr>
  </w:style>
  <w:style w:type="character" w:styleId="WW8Num2z2">
    <w:name w:val="WW8Num2z2"/>
    <w:qFormat/>
    <w:rPr>
      <w:rFonts w:ascii="Wingdings" w:hAnsi="Wingdings" w:cs="Wingdings"/>
    </w:rPr>
  </w:style>
  <w:style w:type="character" w:styleId="WW8Num3z2">
    <w:name w:val="WW8Num3z2"/>
    <w:qFormat/>
    <w:rPr/>
  </w:style>
  <w:style w:type="character" w:styleId="WW8Num3z4">
    <w:name w:val="WW8Num3z4"/>
    <w:qFormat/>
    <w:rPr/>
  </w:style>
  <w:style w:type="character" w:styleId="WW8Num3z5">
    <w:name w:val="WW8Num3z5"/>
    <w:qFormat/>
    <w:rPr/>
  </w:style>
  <w:style w:type="character" w:styleId="WW8Num3z6">
    <w:name w:val="WW8Num3z6"/>
    <w:qFormat/>
    <w:rPr/>
  </w:style>
  <w:style w:type="character" w:styleId="WW8Num3z7">
    <w:name w:val="WW8Num3z7"/>
    <w:qFormat/>
    <w:rPr/>
  </w:style>
  <w:style w:type="character" w:styleId="WW8Num3z8">
    <w:name w:val="WW8Num3z8"/>
    <w:qFormat/>
    <w:rPr/>
  </w:style>
  <w:style w:type="character" w:styleId="WW8Num4z2">
    <w:name w:val="WW8Num4z2"/>
    <w:qFormat/>
    <w:rPr>
      <w:rFonts w:ascii="Wingdings" w:hAnsi="Wingdings" w:cs="Wingdings"/>
    </w:rPr>
  </w:style>
  <w:style w:type="character" w:styleId="WW8Num5z1">
    <w:name w:val="WW8Num5z1"/>
    <w:qFormat/>
    <w:rPr>
      <w:rFonts w:ascii="Courier New" w:hAnsi="Courier New" w:cs="Courier New"/>
    </w:rPr>
  </w:style>
  <w:style w:type="character" w:styleId="WW8Num5z3">
    <w:name w:val="WW8Num5z3"/>
    <w:qFormat/>
    <w:rPr>
      <w:rFonts w:ascii="Symbol" w:hAnsi="Symbol" w:cs="Symbol"/>
    </w:rPr>
  </w:style>
  <w:style w:type="character" w:styleId="WW8Num8z1">
    <w:name w:val="WW8Num8z1"/>
    <w:qFormat/>
    <w:rPr>
      <w:rFonts w:ascii="Courier New" w:hAnsi="Courier New" w:cs="Courier New"/>
    </w:rPr>
  </w:style>
  <w:style w:type="character" w:styleId="WW8Num8z2">
    <w:name w:val="WW8Num8z2"/>
    <w:qFormat/>
    <w:rPr>
      <w:rFonts w:ascii="Wingdings" w:hAnsi="Wingdings" w:cs="Wingdings"/>
    </w:rPr>
  </w:style>
  <w:style w:type="character" w:styleId="WW8Num9z1">
    <w:name w:val="WW8Num9z1"/>
    <w:qFormat/>
    <w:rPr/>
  </w:style>
  <w:style w:type="character" w:styleId="WW8Num9z2">
    <w:name w:val="WW8Num9z2"/>
    <w:qFormat/>
    <w:rPr/>
  </w:style>
  <w:style w:type="character" w:styleId="WW8Num9z3">
    <w:name w:val="WW8Num9z3"/>
    <w:qFormat/>
    <w:rPr>
      <w:rFonts w:ascii="Arial" w:hAnsi="Arial" w:cs="Arial"/>
      <w:b/>
      <w:sz w:val="22"/>
      <w:szCs w:val="22"/>
    </w:rPr>
  </w:style>
  <w:style w:type="character" w:styleId="WW8Num9z4">
    <w:name w:val="WW8Num9z4"/>
    <w:qFormat/>
    <w:rPr/>
  </w:style>
  <w:style w:type="character" w:styleId="WW8Num9z5">
    <w:name w:val="WW8Num9z5"/>
    <w:qFormat/>
    <w:rPr/>
  </w:style>
  <w:style w:type="character" w:styleId="WW8Num9z6">
    <w:name w:val="WW8Num9z6"/>
    <w:qFormat/>
    <w:rPr/>
  </w:style>
  <w:style w:type="character" w:styleId="WW8Num9z7">
    <w:name w:val="WW8Num9z7"/>
    <w:qFormat/>
    <w:rPr/>
  </w:style>
  <w:style w:type="character" w:styleId="WW8Num9z8">
    <w:name w:val="WW8Num9z8"/>
    <w:qFormat/>
    <w:rPr/>
  </w:style>
  <w:style w:type="character" w:styleId="WW8Num12z1">
    <w:name w:val="WW8Num12z1"/>
    <w:qFormat/>
    <w:rPr/>
  </w:style>
  <w:style w:type="character" w:styleId="WW8Num12z2">
    <w:name w:val="WW8Num12z2"/>
    <w:qFormat/>
    <w:rPr/>
  </w:style>
  <w:style w:type="character" w:styleId="WW8Num12z3">
    <w:name w:val="WW8Num12z3"/>
    <w:qFormat/>
    <w:rPr/>
  </w:style>
  <w:style w:type="character" w:styleId="WW8Num12z4">
    <w:name w:val="WW8Num12z4"/>
    <w:qFormat/>
    <w:rPr/>
  </w:style>
  <w:style w:type="character" w:styleId="WW8Num12z5">
    <w:name w:val="WW8Num12z5"/>
    <w:qFormat/>
    <w:rPr/>
  </w:style>
  <w:style w:type="character" w:styleId="WW8Num12z6">
    <w:name w:val="WW8Num12z6"/>
    <w:qFormat/>
    <w:rPr/>
  </w:style>
  <w:style w:type="character" w:styleId="WW8Num12z7">
    <w:name w:val="WW8Num12z7"/>
    <w:qFormat/>
    <w:rPr/>
  </w:style>
  <w:style w:type="character" w:styleId="WW8Num12z8">
    <w:name w:val="WW8Num12z8"/>
    <w:qFormat/>
    <w:rPr/>
  </w:style>
  <w:style w:type="character" w:styleId="WW8Num13z1">
    <w:name w:val="WW8Num13z1"/>
    <w:qFormat/>
    <w:rPr>
      <w:rFonts w:ascii="Courier New" w:hAnsi="Courier New" w:cs="Courier New"/>
    </w:rPr>
  </w:style>
  <w:style w:type="character" w:styleId="WW8Num13z2">
    <w:name w:val="WW8Num13z2"/>
    <w:qFormat/>
    <w:rPr>
      <w:rFonts w:ascii="Wingdings" w:hAnsi="Wingdings" w:cs="Wingdings"/>
    </w:rPr>
  </w:style>
  <w:style w:type="character" w:styleId="WW8Num20z0">
    <w:name w:val="WW8Num20z0"/>
    <w:qFormat/>
    <w:rPr>
      <w:rFonts w:ascii="Symbol" w:hAnsi="Symbol" w:cs="Symbol"/>
    </w:rPr>
  </w:style>
  <w:style w:type="character" w:styleId="WW8Num20z1">
    <w:name w:val="WW8Num20z1"/>
    <w:qFormat/>
    <w:rPr>
      <w:rFonts w:ascii="Courier New" w:hAnsi="Courier New" w:cs="Courier New"/>
    </w:rPr>
  </w:style>
  <w:style w:type="character" w:styleId="WW8Num20z2">
    <w:name w:val="WW8Num20z2"/>
    <w:qFormat/>
    <w:rPr>
      <w:rFonts w:ascii="Wingdings" w:hAnsi="Wingdings" w:cs="Wingdings"/>
    </w:rPr>
  </w:style>
  <w:style w:type="character" w:styleId="WW8Num21z0">
    <w:name w:val="WW8Num21z0"/>
    <w:qFormat/>
    <w:rPr>
      <w:rFonts w:ascii="Symbol" w:hAnsi="Symbol" w:cs="Symbol"/>
    </w:rPr>
  </w:style>
  <w:style w:type="character" w:styleId="WW8Num21z1">
    <w:name w:val="WW8Num21z1"/>
    <w:qFormat/>
    <w:rPr>
      <w:rFonts w:ascii="Courier New" w:hAnsi="Courier New" w:cs="Courier New"/>
    </w:rPr>
  </w:style>
  <w:style w:type="character" w:styleId="WW8Num21z2">
    <w:name w:val="WW8Num21z2"/>
    <w:qFormat/>
    <w:rPr>
      <w:rFonts w:ascii="Wingdings" w:hAnsi="Wingdings" w:cs="Wingdings"/>
    </w:rPr>
  </w:style>
  <w:style w:type="character" w:styleId="WW8Num22z0">
    <w:name w:val="WW8Num22z0"/>
    <w:qFormat/>
    <w:rPr/>
  </w:style>
  <w:style w:type="character" w:styleId="WW8Num22z1">
    <w:name w:val="WW8Num22z1"/>
    <w:qFormat/>
    <w:rPr/>
  </w:style>
  <w:style w:type="character" w:styleId="WW8Num22z2">
    <w:name w:val="WW8Num22z2"/>
    <w:qFormat/>
    <w:rPr/>
  </w:style>
  <w:style w:type="character" w:styleId="WW8Num22z3">
    <w:name w:val="WW8Num22z3"/>
    <w:qFormat/>
    <w:rPr/>
  </w:style>
  <w:style w:type="character" w:styleId="WW8Num22z4">
    <w:name w:val="WW8Num22z4"/>
    <w:qFormat/>
    <w:rPr/>
  </w:style>
  <w:style w:type="character" w:styleId="WW8Num22z5">
    <w:name w:val="WW8Num22z5"/>
    <w:qFormat/>
    <w:rPr/>
  </w:style>
  <w:style w:type="character" w:styleId="WW8Num22z6">
    <w:name w:val="WW8Num22z6"/>
    <w:qFormat/>
    <w:rPr/>
  </w:style>
  <w:style w:type="character" w:styleId="WW8Num22z7">
    <w:name w:val="WW8Num22z7"/>
    <w:qFormat/>
    <w:rPr/>
  </w:style>
  <w:style w:type="character" w:styleId="WW8Num22z8">
    <w:name w:val="WW8Num22z8"/>
    <w:qFormat/>
    <w:rPr/>
  </w:style>
  <w:style w:type="character" w:styleId="Domylnaczcionkaakapitu1">
    <w:name w:val="Domyślna czcionka akapitu1"/>
    <w:qFormat/>
    <w:rPr/>
  </w:style>
  <w:style w:type="character" w:styleId="ZnakZnak5">
    <w:name w:val=" Znak Znak5"/>
    <w:qFormat/>
    <w:rPr>
      <w:rFonts w:ascii="Times New Roman" w:hAnsi="Times New Roman" w:cs="Times New Roman"/>
      <w:b/>
      <w:bCs/>
      <w:i/>
      <w:iCs/>
      <w:sz w:val="26"/>
      <w:szCs w:val="26"/>
    </w:rPr>
  </w:style>
  <w:style w:type="character" w:styleId="ZnakZnak3">
    <w:name w:val=" Znak Znak3"/>
    <w:qFormat/>
    <w:rPr>
      <w:rFonts w:ascii="Arial" w:hAnsi="Arial" w:cs="Arial"/>
      <w:b/>
      <w:bCs/>
      <w:sz w:val="20"/>
      <w:szCs w:val="20"/>
    </w:rPr>
  </w:style>
  <w:style w:type="character" w:styleId="ZnakZnak2">
    <w:name w:val=" Znak Znak2"/>
    <w:qFormat/>
    <w:rPr>
      <w:rFonts w:ascii="Times New Roman" w:hAnsi="Times New Roman" w:cs="Times New Roman"/>
      <w:sz w:val="20"/>
      <w:szCs w:val="20"/>
    </w:rPr>
  </w:style>
  <w:style w:type="character" w:styleId="ZnakZnak1">
    <w:name w:val=" Znak Znak1"/>
    <w:qFormat/>
    <w:rPr>
      <w:rFonts w:ascii="Times New Roman" w:hAnsi="Times New Roman" w:cs="Times New Roman"/>
      <w:sz w:val="20"/>
      <w:szCs w:val="20"/>
    </w:rPr>
  </w:style>
  <w:style w:type="character" w:styleId="Wyrnienie">
    <w:name w:val="Wyróżnienie"/>
    <w:qFormat/>
    <w:rPr>
      <w:i/>
      <w:iCs/>
    </w:rPr>
  </w:style>
  <w:style w:type="character" w:styleId="ZnakZnak">
    <w:name w:val=" Znak Znak"/>
    <w:qFormat/>
    <w:rPr>
      <w:rFonts w:ascii="Tahoma" w:hAnsi="Tahoma" w:eastAsia="Times New Roman" w:cs="Tahoma"/>
      <w:sz w:val="16"/>
      <w:szCs w:val="16"/>
    </w:rPr>
  </w:style>
  <w:style w:type="character" w:styleId="Appleconvertedspace">
    <w:name w:val="apple-converted-space"/>
    <w:basedOn w:val="Domylnaczcionkaakapitu1"/>
    <w:qFormat/>
    <w:rPr/>
  </w:style>
  <w:style w:type="character" w:styleId="Mocnowyrniony">
    <w:name w:val="Mocno wyróżniony"/>
    <w:qFormat/>
    <w:rPr>
      <w:b/>
      <w:bCs/>
    </w:rPr>
  </w:style>
  <w:style w:type="character" w:styleId="ZnakZnak4">
    <w:name w:val=" Znak Znak4"/>
    <w:qFormat/>
    <w:rPr>
      <w:rFonts w:ascii="Calibri" w:hAnsi="Calibri" w:eastAsia="Times New Roman" w:cs="Times New Roman"/>
      <w:b/>
      <w:bCs/>
      <w:sz w:val="22"/>
      <w:szCs w:val="22"/>
    </w:rPr>
  </w:style>
  <w:style w:type="character" w:styleId="2Znak">
    <w:name w:val="2 Znak"/>
    <w:qFormat/>
    <w:rPr>
      <w:rFonts w:ascii="Arial" w:hAnsi="Arial" w:cs="Arial"/>
      <w:b/>
      <w:spacing w:val="20"/>
      <w:sz w:val="26"/>
      <w:szCs w:val="26"/>
      <w:lang w:val="pl-PL" w:bidi="ar-SA"/>
    </w:rPr>
  </w:style>
  <w:style w:type="character" w:styleId="3Znak">
    <w:name w:val="3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4Znak">
    <w:name w:val="4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5Znak">
    <w:name w:val="5 Znak"/>
    <w:qFormat/>
    <w:rPr>
      <w:rFonts w:ascii="Arial" w:hAnsi="Arial" w:eastAsia="Times New Roman" w:cs="Arial"/>
      <w:spacing w:val="20"/>
      <w:sz w:val="26"/>
      <w:szCs w:val="26"/>
      <w:shd w:fill="99CC00" w:val="clear"/>
      <w:lang w:val="pl-PL"/>
    </w:rPr>
  </w:style>
  <w:style w:type="character" w:styleId="I1Znak">
    <w:name w:val="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III1Znak">
    <w:name w:val="III.1 Znak"/>
    <w:qFormat/>
    <w:rPr>
      <w:rFonts w:ascii="Arial" w:hAnsi="Arial" w:eastAsia="Times New Roman" w:cs="Arial"/>
      <w:b/>
      <w:bCs/>
      <w:iCs/>
      <w:sz w:val="22"/>
      <w:szCs w:val="22"/>
      <w:lang w:val="pl-PL"/>
    </w:rPr>
  </w:style>
  <w:style w:type="character" w:styleId="ZnakZnak6">
    <w:name w:val=" Znak Znak6"/>
    <w:qFormat/>
    <w:rPr>
      <w:rFonts w:ascii="Calibri Light" w:hAnsi="Calibri Light" w:eastAsia="Times New Roman" w:cs="Times New Roman"/>
      <w:b/>
      <w:bCs/>
      <w:i/>
      <w:iCs/>
      <w:sz w:val="28"/>
      <w:szCs w:val="28"/>
    </w:rPr>
  </w:style>
  <w:style w:type="character" w:styleId="BBF1StopieZnak">
    <w:name w:val="BBF-1 Stopień Znak"/>
    <w:qFormat/>
    <w:rPr>
      <w:rFonts w:ascii="Arial" w:hAnsi="Arial" w:eastAsia="Times New Roman" w:cs="Arial"/>
      <w:b/>
      <w:sz w:val="24"/>
      <w:szCs w:val="24"/>
    </w:rPr>
  </w:style>
  <w:style w:type="character" w:styleId="ZnakZnak7">
    <w:name w:val=" Znak Znak7"/>
    <w:qFormat/>
    <w:rPr>
      <w:rFonts w:ascii="Calibri Light" w:hAnsi="Calibri Light" w:eastAsia="Times New Roman" w:cs="Times New Roman"/>
      <w:b/>
      <w:bCs/>
      <w:kern w:val="2"/>
      <w:sz w:val="32"/>
      <w:szCs w:val="32"/>
    </w:rPr>
  </w:style>
  <w:style w:type="character" w:styleId="Tekstrdowy">
    <w:name w:val="Tekst źródłowy"/>
    <w:qFormat/>
    <w:rPr>
      <w:rFonts w:ascii="Liberation Mono;Courier New" w:hAnsi="Liberation Mono;Courier New" w:eastAsia="NSimSun" w:cs="Liberation Mono;Courier New"/>
    </w:rPr>
  </w:style>
  <w:style w:type="character" w:styleId="NagwekZnak">
    <w:name w:val="Nagłówek Znak"/>
    <w:qFormat/>
    <w:rPr>
      <w:lang w:eastAsia="zh-CN"/>
    </w:rPr>
  </w:style>
  <w:style w:type="character" w:styleId="Czeinternetowe">
    <w:name w:val="Łącze internetowe"/>
    <w:rPr>
      <w:color w:val="0563C1"/>
      <w:u w:val="single"/>
    </w:rPr>
  </w:style>
  <w:style w:type="character" w:styleId="WWCharLFO31LVL1">
    <w:name w:val="WW_CharLFO31LVL1"/>
    <w:qFormat/>
    <w:rPr>
      <w:rFonts w:ascii="Symbol" w:hAnsi="Symbol" w:cs="Symbol"/>
      <w:b/>
      <w:sz w:val="24"/>
      <w:szCs w:val="24"/>
    </w:rPr>
  </w:style>
  <w:style w:type="character" w:styleId="WWCharLFO31LVL2">
    <w:name w:val="WW_CharLFO31LVL2"/>
    <w:qFormat/>
    <w:rPr>
      <w:rFonts w:ascii="Courier New" w:hAnsi="Courier New" w:cs="Courier New"/>
    </w:rPr>
  </w:style>
  <w:style w:type="character" w:styleId="WWCharLFO31LVL3">
    <w:name w:val="WW_CharLFO31LVL3"/>
    <w:qFormat/>
    <w:rPr>
      <w:rFonts w:ascii="Wingdings" w:hAnsi="Wingdings" w:cs="Wingdings"/>
    </w:rPr>
  </w:style>
  <w:style w:type="character" w:styleId="WWCharLFO31LVL4">
    <w:name w:val="WW_CharLFO31LVL4"/>
    <w:qFormat/>
    <w:rPr>
      <w:rFonts w:ascii="Symbol" w:hAnsi="Symbol" w:cs="Symbol"/>
    </w:rPr>
  </w:style>
  <w:style w:type="character" w:styleId="WWCharLFO31LVL5">
    <w:name w:val="WW_CharLFO31LVL5"/>
    <w:qFormat/>
    <w:rPr>
      <w:rFonts w:ascii="Courier New" w:hAnsi="Courier New" w:cs="Courier New"/>
    </w:rPr>
  </w:style>
  <w:style w:type="character" w:styleId="WWCharLFO31LVL6">
    <w:name w:val="WW_CharLFO31LVL6"/>
    <w:qFormat/>
    <w:rPr>
      <w:rFonts w:ascii="Wingdings" w:hAnsi="Wingdings" w:cs="Wingdings"/>
    </w:rPr>
  </w:style>
  <w:style w:type="character" w:styleId="WWCharLFO31LVL7">
    <w:name w:val="WW_CharLFO31LVL7"/>
    <w:qFormat/>
    <w:rPr>
      <w:rFonts w:ascii="Symbol" w:hAnsi="Symbol" w:cs="Symbol"/>
    </w:rPr>
  </w:style>
  <w:style w:type="character" w:styleId="WWCharLFO31LVL8">
    <w:name w:val="WW_CharLFO31LVL8"/>
    <w:qFormat/>
    <w:rPr>
      <w:rFonts w:ascii="Courier New" w:hAnsi="Courier New" w:cs="Courier New"/>
    </w:rPr>
  </w:style>
  <w:style w:type="character" w:styleId="WWCharLFO31LVL9">
    <w:name w:val="WW_CharLFO31LVL9"/>
    <w:qFormat/>
    <w:rPr>
      <w:rFonts w:ascii="Wingdings" w:hAnsi="Wingdings" w:cs="Wingdings"/>
    </w:rPr>
  </w:style>
  <w:style w:type="character" w:styleId="Czeindeksu">
    <w:name w:val="Łącze indeksu"/>
    <w:qFormat/>
    <w:rPr/>
  </w:style>
  <w:style w:type="character" w:styleId="Znakinumeracji">
    <w:name w:val="Znaki numeracji"/>
    <w:qFormat/>
    <w:rPr/>
  </w:style>
  <w:style w:type="character" w:styleId="WWCharLFO9LVL1">
    <w:name w:val="WW_CharLFO9LVL1"/>
    <w:qFormat/>
    <w:rPr>
      <w:lang w:val="pl-PL"/>
    </w:rPr>
  </w:style>
  <w:style w:type="character" w:styleId="ListLabel1">
    <w:name w:val="ListLabel 1"/>
    <w:qFormat/>
    <w:rPr>
      <w:sz w:val="24"/>
      <w:szCs w:val="24"/>
    </w:rPr>
  </w:style>
  <w:style w:type="character" w:styleId="ListLabel2">
    <w:name w:val="ListLabel 2"/>
    <w:qFormat/>
    <w:rPr>
      <w:rFonts w:cs="Wingdings"/>
    </w:rPr>
  </w:style>
  <w:style w:type="character" w:styleId="ListLabel3">
    <w:name w:val="ListLabel 3"/>
    <w:qFormat/>
    <w:rPr>
      <w:rFonts w:cs="Courier New"/>
    </w:rPr>
  </w:style>
  <w:style w:type="character" w:styleId="ListLabel4">
    <w:name w:val="ListLabel 4"/>
    <w:qFormat/>
    <w:rPr>
      <w:rFonts w:cs="Wingdings"/>
    </w:rPr>
  </w:style>
  <w:style w:type="character" w:styleId="ListLabel5">
    <w:name w:val="ListLabel 5"/>
    <w:qFormat/>
    <w:rPr>
      <w:rFonts w:cs="Symbol"/>
    </w:rPr>
  </w:style>
  <w:style w:type="character" w:styleId="ListLabel6">
    <w:name w:val="ListLabel 6"/>
    <w:qFormat/>
    <w:rPr>
      <w:rFonts w:cs="Courier New"/>
    </w:rPr>
  </w:style>
  <w:style w:type="character" w:styleId="ListLabel7">
    <w:name w:val="ListLabel 7"/>
    <w:qFormat/>
    <w:rPr>
      <w:rFonts w:cs="Wingdings"/>
    </w:rPr>
  </w:style>
  <w:style w:type="character" w:styleId="ListLabel8">
    <w:name w:val="ListLabel 8"/>
    <w:qFormat/>
    <w:rPr>
      <w:rFonts w:cs="Symbol"/>
    </w:rPr>
  </w:style>
  <w:style w:type="character" w:styleId="ListLabel9">
    <w:name w:val="ListLabel 9"/>
    <w:qFormat/>
    <w:rPr>
      <w:rFonts w:cs="Courier New"/>
    </w:rPr>
  </w:style>
  <w:style w:type="character" w:styleId="ListLabel10">
    <w:name w:val="ListLabel 10"/>
    <w:qFormat/>
    <w:rPr>
      <w:rFonts w:cs="Wingdings"/>
    </w:rPr>
  </w:style>
  <w:style w:type="character" w:styleId="ListLabel11">
    <w:name w:val="ListLabel 11"/>
    <w:qFormat/>
    <w:rPr>
      <w:rFonts w:cs="Arial"/>
      <w:b/>
      <w:i w:val="false"/>
      <w:sz w:val="24"/>
      <w:u w:val="none"/>
    </w:rPr>
  </w:style>
  <w:style w:type="character" w:styleId="ListLabel12">
    <w:name w:val="ListLabel 12"/>
    <w:qFormat/>
    <w:rPr>
      <w:rFonts w:cs="Symbol"/>
      <w:b/>
      <w:sz w:val="22"/>
      <w:szCs w:val="24"/>
    </w:rPr>
  </w:style>
  <w:style w:type="character" w:styleId="ListLabel13">
    <w:name w:val="ListLabel 13"/>
    <w:qFormat/>
    <w:rPr>
      <w:rFonts w:cs="Symbol"/>
      <w:sz w:val="24"/>
      <w:szCs w:val="24"/>
    </w:rPr>
  </w:style>
  <w:style w:type="character" w:styleId="ListLabel14">
    <w:name w:val="ListLabel 14"/>
    <w:qFormat/>
    <w:rPr>
      <w:rFonts w:cs="Times New Roman"/>
      <w:b/>
      <w:sz w:val="28"/>
      <w:szCs w:val="24"/>
    </w:rPr>
  </w:style>
  <w:style w:type="character" w:styleId="ListLabel15">
    <w:name w:val="ListLabel 15"/>
    <w:qFormat/>
    <w:rPr>
      <w:rFonts w:cs="Times New Roman"/>
      <w:b/>
      <w:bCs w:val="false"/>
      <w:sz w:val="28"/>
      <w:szCs w:val="24"/>
    </w:rPr>
  </w:style>
  <w:style w:type="character" w:styleId="ListLabel16">
    <w:name w:val="ListLabel 16"/>
    <w:qFormat/>
    <w:rPr>
      <w:rFonts w:cs="Symbol"/>
      <w:sz w:val="24"/>
      <w:szCs w:val="24"/>
    </w:rPr>
  </w:style>
  <w:style w:type="character" w:styleId="ListLabel17">
    <w:name w:val="ListLabel 17"/>
    <w:qFormat/>
    <w:rPr>
      <w:rFonts w:cs="Symbol"/>
      <w:sz w:val="24"/>
      <w:szCs w:val="24"/>
    </w:rPr>
  </w:style>
  <w:style w:type="character" w:styleId="ListLabel18">
    <w:name w:val="ListLabel 18"/>
    <w:qFormat/>
    <w:rPr>
      <w:rFonts w:cs="Symbol"/>
      <w:sz w:val="24"/>
      <w:szCs w:val="24"/>
    </w:rPr>
  </w:style>
  <w:style w:type="character" w:styleId="ListLabel19">
    <w:name w:val="ListLabel 19"/>
    <w:qFormat/>
    <w:rPr>
      <w:rFonts w:cs="Symbol"/>
      <w:sz w:val="24"/>
      <w:szCs w:val="24"/>
    </w:rPr>
  </w:style>
  <w:style w:type="character" w:styleId="ListLabel20">
    <w:name w:val="ListLabel 20"/>
    <w:qFormat/>
    <w:rPr>
      <w:lang w:val="pl-PL"/>
    </w:rPr>
  </w:style>
  <w:style w:type="character" w:styleId="ListLabel21">
    <w:name w:val="ListLabel 21"/>
    <w:qFormat/>
    <w:rPr>
      <w:sz w:val="24"/>
      <w:szCs w:val="24"/>
    </w:rPr>
  </w:style>
  <w:style w:type="character" w:styleId="ListLabel22">
    <w:name w:val="ListLabel 22"/>
    <w:qFormat/>
    <w:rPr>
      <w:rFonts w:cs="Symbol"/>
      <w:b/>
      <w:sz w:val="22"/>
      <w:szCs w:val="24"/>
    </w:rPr>
  </w:style>
  <w:style w:type="character" w:styleId="ListLabel23">
    <w:name w:val="ListLabel 23"/>
    <w:qFormat/>
    <w:rPr>
      <w:rFonts w:cs="Symbol"/>
      <w:sz w:val="24"/>
      <w:szCs w:val="24"/>
    </w:rPr>
  </w:style>
  <w:style w:type="character" w:styleId="ListLabel24">
    <w:name w:val="ListLabel 24"/>
    <w:qFormat/>
    <w:rPr>
      <w:rFonts w:cs="Symbol"/>
      <w:sz w:val="24"/>
      <w:szCs w:val="24"/>
    </w:rPr>
  </w:style>
  <w:style w:type="character" w:styleId="ListLabel25">
    <w:name w:val="ListLabel 25"/>
    <w:qFormat/>
    <w:rPr>
      <w:rFonts w:cs="Symbol"/>
      <w:sz w:val="24"/>
      <w:szCs w:val="24"/>
    </w:rPr>
  </w:style>
  <w:style w:type="character" w:styleId="ListLabel26">
    <w:name w:val="ListLabel 26"/>
    <w:qFormat/>
    <w:rPr>
      <w:rFonts w:cs="Symbol"/>
      <w:sz w:val="24"/>
      <w:szCs w:val="24"/>
    </w:rPr>
  </w:style>
  <w:style w:type="character" w:styleId="ListLabel27">
    <w:name w:val="ListLabel 27"/>
    <w:qFormat/>
    <w:rPr>
      <w:rFonts w:cs="Symbol"/>
      <w:sz w:val="24"/>
      <w:szCs w:val="24"/>
    </w:rPr>
  </w:style>
  <w:style w:type="character" w:styleId="ListLabel28">
    <w:name w:val="ListLabel 28"/>
    <w:qFormat/>
    <w:rPr>
      <w:rFonts w:cs="Symbol"/>
      <w:b/>
      <w:sz w:val="22"/>
      <w:szCs w:val="24"/>
    </w:rPr>
  </w:style>
  <w:style w:type="character" w:styleId="ListLabel29">
    <w:name w:val="ListLabel 29"/>
    <w:qFormat/>
    <w:rPr>
      <w:rFonts w:cs="Symbol"/>
      <w:sz w:val="24"/>
      <w:szCs w:val="24"/>
    </w:rPr>
  </w:style>
  <w:style w:type="character" w:styleId="ListLabel30">
    <w:name w:val="ListLabel 30"/>
    <w:qFormat/>
    <w:rPr>
      <w:rFonts w:cs="Symbol"/>
      <w:sz w:val="24"/>
      <w:szCs w:val="24"/>
    </w:rPr>
  </w:style>
  <w:style w:type="character" w:styleId="ListLabel31">
    <w:name w:val="ListLabel 31"/>
    <w:qFormat/>
    <w:rPr>
      <w:rFonts w:cs="Symbol"/>
      <w:sz w:val="24"/>
      <w:szCs w:val="24"/>
    </w:rPr>
  </w:style>
  <w:style w:type="character" w:styleId="ListLabel32">
    <w:name w:val="ListLabel 32"/>
    <w:qFormat/>
    <w:rPr>
      <w:rFonts w:cs="Symbol"/>
      <w:sz w:val="24"/>
      <w:szCs w:val="24"/>
    </w:rPr>
  </w:style>
  <w:style w:type="character" w:styleId="ListLabel33">
    <w:name w:val="ListLabel 33"/>
    <w:qFormat/>
    <w:rPr>
      <w:rFonts w:cs="Symbol"/>
      <w:sz w:val="24"/>
      <w:szCs w:val="24"/>
    </w:rPr>
  </w:style>
  <w:style w:type="character" w:styleId="ListLabel34">
    <w:name w:val="ListLabel 34"/>
    <w:qFormat/>
    <w:rPr>
      <w:rFonts w:cs="Symbol"/>
      <w:b/>
      <w:sz w:val="22"/>
      <w:szCs w:val="24"/>
    </w:rPr>
  </w:style>
  <w:style w:type="character" w:styleId="ListLabel35">
    <w:name w:val="ListLabel 35"/>
    <w:qFormat/>
    <w:rPr>
      <w:rFonts w:cs="Symbol"/>
      <w:sz w:val="24"/>
      <w:szCs w:val="24"/>
    </w:rPr>
  </w:style>
  <w:style w:type="character" w:styleId="ListLabel36">
    <w:name w:val="ListLabel 36"/>
    <w:qFormat/>
    <w:rPr>
      <w:rFonts w:cs="Symbol"/>
      <w:sz w:val="24"/>
      <w:szCs w:val="24"/>
    </w:rPr>
  </w:style>
  <w:style w:type="character" w:styleId="ListLabel37">
    <w:name w:val="ListLabel 37"/>
    <w:qFormat/>
    <w:rPr>
      <w:rFonts w:cs="Symbol"/>
      <w:sz w:val="24"/>
      <w:szCs w:val="24"/>
    </w:rPr>
  </w:style>
  <w:style w:type="character" w:styleId="ListLabel38">
    <w:name w:val="ListLabel 38"/>
    <w:qFormat/>
    <w:rPr>
      <w:rFonts w:cs="Symbol"/>
      <w:sz w:val="24"/>
      <w:szCs w:val="24"/>
    </w:rPr>
  </w:style>
  <w:style w:type="character" w:styleId="ListLabel39">
    <w:name w:val="ListLabel 39"/>
    <w:qFormat/>
    <w:rPr>
      <w:rFonts w:cs="Symbol"/>
      <w:sz w:val="24"/>
      <w:szCs w:val="24"/>
    </w:rPr>
  </w:style>
  <w:style w:type="character" w:styleId="ListLabel40">
    <w:name w:val="ListLabel 40"/>
    <w:qFormat/>
    <w:rPr>
      <w:rFonts w:cs="Symbol"/>
      <w:b/>
      <w:sz w:val="22"/>
      <w:szCs w:val="24"/>
    </w:rPr>
  </w:style>
  <w:style w:type="character" w:styleId="ListLabel41">
    <w:name w:val="ListLabel 41"/>
    <w:qFormat/>
    <w:rPr>
      <w:rFonts w:cs="Symbol"/>
      <w:sz w:val="24"/>
      <w:szCs w:val="24"/>
    </w:rPr>
  </w:style>
  <w:style w:type="character" w:styleId="ListLabel42">
    <w:name w:val="ListLabel 42"/>
    <w:qFormat/>
    <w:rPr>
      <w:rFonts w:cs="Symbol"/>
      <w:sz w:val="24"/>
      <w:szCs w:val="24"/>
    </w:rPr>
  </w:style>
  <w:style w:type="character" w:styleId="ListLabel43">
    <w:name w:val="ListLabel 43"/>
    <w:qFormat/>
    <w:rPr>
      <w:rFonts w:cs="Symbol"/>
      <w:sz w:val="24"/>
      <w:szCs w:val="24"/>
    </w:rPr>
  </w:style>
  <w:style w:type="character" w:styleId="ListLabel44">
    <w:name w:val="ListLabel 44"/>
    <w:qFormat/>
    <w:rPr>
      <w:rFonts w:cs="Symbol"/>
      <w:sz w:val="24"/>
      <w:szCs w:val="24"/>
    </w:rPr>
  </w:style>
  <w:style w:type="character" w:styleId="ListLabel45">
    <w:name w:val="ListLabel 45"/>
    <w:qFormat/>
    <w:rPr>
      <w:rFonts w:cs="Symbol"/>
      <w:sz w:val="24"/>
      <w:szCs w:val="24"/>
    </w:rPr>
  </w:style>
  <w:style w:type="character" w:styleId="ListLabel46">
    <w:name w:val="ListLabel 46"/>
    <w:qFormat/>
    <w:rPr>
      <w:rFonts w:cs="Symbol"/>
      <w:b/>
      <w:sz w:val="22"/>
      <w:szCs w:val="24"/>
    </w:rPr>
  </w:style>
  <w:style w:type="character" w:styleId="ListLabel47">
    <w:name w:val="ListLabel 47"/>
    <w:qFormat/>
    <w:rPr>
      <w:rFonts w:cs="Symbol"/>
      <w:sz w:val="24"/>
      <w:szCs w:val="24"/>
    </w:rPr>
  </w:style>
  <w:style w:type="character" w:styleId="ListLabel48">
    <w:name w:val="ListLabel 48"/>
    <w:qFormat/>
    <w:rPr>
      <w:rFonts w:cs="Symbol"/>
      <w:sz w:val="24"/>
      <w:szCs w:val="24"/>
    </w:rPr>
  </w:style>
  <w:style w:type="character" w:styleId="ListLabel49">
    <w:name w:val="ListLabel 49"/>
    <w:qFormat/>
    <w:rPr>
      <w:rFonts w:cs="Symbol"/>
      <w:sz w:val="24"/>
      <w:szCs w:val="24"/>
    </w:rPr>
  </w:style>
  <w:style w:type="character" w:styleId="ListLabel50">
    <w:name w:val="ListLabel 50"/>
    <w:qFormat/>
    <w:rPr>
      <w:rFonts w:cs="Symbol"/>
      <w:sz w:val="24"/>
      <w:szCs w:val="24"/>
    </w:rPr>
  </w:style>
  <w:style w:type="character" w:styleId="ListLabel51">
    <w:name w:val="ListLabel 51"/>
    <w:qFormat/>
    <w:rPr>
      <w:rFonts w:cs="Symbol"/>
      <w:sz w:val="24"/>
      <w:szCs w:val="24"/>
    </w:rPr>
  </w:style>
  <w:style w:type="character" w:styleId="ListLabel52">
    <w:name w:val="ListLabel 52"/>
    <w:qFormat/>
    <w:rPr>
      <w:rFonts w:cs="Symbol"/>
      <w:b/>
      <w:sz w:val="22"/>
      <w:szCs w:val="24"/>
    </w:rPr>
  </w:style>
  <w:style w:type="character" w:styleId="ListLabel53">
    <w:name w:val="ListLabel 53"/>
    <w:qFormat/>
    <w:rPr>
      <w:rFonts w:cs="Symbol"/>
      <w:sz w:val="24"/>
      <w:szCs w:val="24"/>
    </w:rPr>
  </w:style>
  <w:style w:type="character" w:styleId="ListLabel54">
    <w:name w:val="ListLabel 54"/>
    <w:qFormat/>
    <w:rPr>
      <w:rFonts w:cs="Symbol"/>
      <w:sz w:val="24"/>
      <w:szCs w:val="24"/>
    </w:rPr>
  </w:style>
  <w:style w:type="character" w:styleId="ListLabel55">
    <w:name w:val="ListLabel 55"/>
    <w:qFormat/>
    <w:rPr>
      <w:rFonts w:cs="Symbol"/>
      <w:sz w:val="24"/>
      <w:szCs w:val="24"/>
    </w:rPr>
  </w:style>
  <w:style w:type="character" w:styleId="ListLabel56">
    <w:name w:val="ListLabel 56"/>
    <w:qFormat/>
    <w:rPr>
      <w:rFonts w:cs="Symbol"/>
      <w:sz w:val="24"/>
      <w:szCs w:val="24"/>
    </w:rPr>
  </w:style>
  <w:style w:type="character" w:styleId="ListLabel57">
    <w:name w:val="ListLabel 57"/>
    <w:qFormat/>
    <w:rPr>
      <w:rFonts w:cs="Symbol"/>
      <w:sz w:val="24"/>
      <w:szCs w:val="24"/>
    </w:rPr>
  </w:style>
  <w:style w:type="character" w:styleId="ListLabel58">
    <w:name w:val="ListLabel 58"/>
    <w:qFormat/>
    <w:rPr>
      <w:rFonts w:cs="Symbol"/>
      <w:b/>
      <w:sz w:val="22"/>
      <w:szCs w:val="24"/>
    </w:rPr>
  </w:style>
  <w:style w:type="character" w:styleId="ListLabel59">
    <w:name w:val="ListLabel 59"/>
    <w:qFormat/>
    <w:rPr>
      <w:rFonts w:cs="Symbol"/>
      <w:sz w:val="24"/>
      <w:szCs w:val="24"/>
    </w:rPr>
  </w:style>
  <w:style w:type="character" w:styleId="ListLabel60">
    <w:name w:val="ListLabel 60"/>
    <w:qFormat/>
    <w:rPr>
      <w:rFonts w:cs="Symbol"/>
      <w:sz w:val="24"/>
      <w:szCs w:val="24"/>
    </w:rPr>
  </w:style>
  <w:style w:type="character" w:styleId="ListLabel61">
    <w:name w:val="ListLabel 61"/>
    <w:qFormat/>
    <w:rPr>
      <w:rFonts w:cs="Symbol"/>
      <w:sz w:val="24"/>
      <w:szCs w:val="24"/>
    </w:rPr>
  </w:style>
  <w:style w:type="character" w:styleId="ListLabel62">
    <w:name w:val="ListLabel 62"/>
    <w:qFormat/>
    <w:rPr>
      <w:rFonts w:cs="Symbol"/>
      <w:sz w:val="24"/>
      <w:szCs w:val="24"/>
    </w:rPr>
  </w:style>
  <w:style w:type="character" w:styleId="ListLabel63">
    <w:name w:val="ListLabel 63"/>
    <w:qFormat/>
    <w:rPr>
      <w:rFonts w:cs="Symbol"/>
      <w:sz w:val="24"/>
      <w:szCs w:val="24"/>
    </w:rPr>
  </w:style>
  <w:style w:type="character" w:styleId="ListLabel64">
    <w:name w:val="ListLabel 64"/>
    <w:qFormat/>
    <w:rPr>
      <w:rFonts w:cs="Symbol"/>
      <w:b/>
      <w:sz w:val="22"/>
      <w:szCs w:val="24"/>
    </w:rPr>
  </w:style>
  <w:style w:type="character" w:styleId="ListLabel65">
    <w:name w:val="ListLabel 65"/>
    <w:qFormat/>
    <w:rPr>
      <w:rFonts w:cs="Symbol"/>
      <w:sz w:val="24"/>
      <w:szCs w:val="24"/>
    </w:rPr>
  </w:style>
  <w:style w:type="character" w:styleId="ListLabel66">
    <w:name w:val="ListLabel 66"/>
    <w:qFormat/>
    <w:rPr>
      <w:rFonts w:cs="Symbol"/>
      <w:sz w:val="24"/>
      <w:szCs w:val="24"/>
    </w:rPr>
  </w:style>
  <w:style w:type="character" w:styleId="ListLabel67">
    <w:name w:val="ListLabel 67"/>
    <w:qFormat/>
    <w:rPr>
      <w:rFonts w:cs="Symbol"/>
      <w:sz w:val="24"/>
      <w:szCs w:val="24"/>
    </w:rPr>
  </w:style>
  <w:style w:type="character" w:styleId="ListLabel68">
    <w:name w:val="ListLabel 68"/>
    <w:qFormat/>
    <w:rPr>
      <w:rFonts w:cs="Symbol"/>
      <w:sz w:val="24"/>
      <w:szCs w:val="24"/>
    </w:rPr>
  </w:style>
  <w:style w:type="character" w:styleId="ListLabel69">
    <w:name w:val="ListLabel 69"/>
    <w:qFormat/>
    <w:rPr>
      <w:rFonts w:cs="Symbol"/>
      <w:sz w:val="24"/>
      <w:szCs w:val="24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Tretekstu">
    <w:name w:val="Body Text"/>
    <w:basedOn w:val="Normal"/>
    <w:pPr>
      <w:spacing w:lineRule="auto" w:line="360"/>
      <w:jc w:val="center"/>
    </w:pPr>
    <w:rPr>
      <w:rFonts w:ascii="Arial" w:hAnsi="Arial" w:cs="Arial"/>
      <w:b/>
      <w:bCs/>
      <w:sz w:val="22"/>
      <w:szCs w:val="22"/>
    </w:rPr>
  </w:style>
  <w:style w:type="paragraph" w:styleId="Lista">
    <w:name w:val="List"/>
    <w:basedOn w:val="Tretekstu"/>
    <w:pPr/>
    <w:rPr>
      <w:rFonts w:cs="Arial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Arial"/>
    </w:rPr>
  </w:style>
  <w:style w:type="paragraph" w:styleId="Nagwek31">
    <w:name w:val="Nagłówek3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Nagwek51">
    <w:name w:val="Nagłówek5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">
    <w:name w:val="Legenda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4">
    <w:name w:val="Nagłówek4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4">
    <w:name w:val="Legenda4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Legenda3">
    <w:name w:val="Legenda3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21">
    <w:name w:val="Nagłówek2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2">
    <w:name w:val="Legenda2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Nagwek11">
    <w:name w:val="Nagłówek1"/>
    <w:basedOn w:val="Normal"/>
    <w:next w:val="Tretekstu"/>
    <w:qFormat/>
    <w:pPr>
      <w:keepNext w:val="true"/>
      <w:spacing w:before="240" w:after="120"/>
    </w:pPr>
    <w:rPr>
      <w:rFonts w:ascii="Liberation Sans;Arial" w:hAnsi="Liberation Sans;Arial" w:eastAsia="Microsoft YaHei" w:cs="Arial"/>
      <w:sz w:val="28"/>
      <w:szCs w:val="28"/>
    </w:rPr>
  </w:style>
  <w:style w:type="paragraph" w:styleId="Legenda1">
    <w:name w:val="Legenda1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Gwkaistopka">
    <w:name w:val="Główka i stopka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Gwka">
    <w:name w:val="Header"/>
    <w:basedOn w:val="Normal"/>
    <w:pPr/>
    <w:rPr/>
  </w:style>
  <w:style w:type="paragraph" w:styleId="Stopka">
    <w:name w:val="Footer"/>
    <w:basedOn w:val="Normal"/>
    <w:pPr/>
    <w:rPr/>
  </w:style>
  <w:style w:type="paragraph" w:styleId="Akapitzlist">
    <w:name w:val="Akapit z listą"/>
    <w:basedOn w:val="Normal"/>
    <w:qFormat/>
    <w:pPr>
      <w:ind w:left="720" w:right="0" w:hanging="0"/>
    </w:pPr>
    <w:rPr/>
  </w:style>
  <w:style w:type="paragraph" w:styleId="AB2EC678D6BE4DEEA4B03F6A770A2BBD">
    <w:name w:val="AB2EC678D6BE4DEEA4B03F6A770A2BBD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Times New Roman" w:cs="Calibri"/>
      <w:color w:val="auto"/>
      <w:kern w:val="2"/>
      <w:sz w:val="22"/>
      <w:szCs w:val="22"/>
      <w:lang w:val="en-US" w:eastAsia="zh-CN" w:bidi="ar-SA"/>
    </w:rPr>
  </w:style>
  <w:style w:type="paragraph" w:styleId="Tekstdymka">
    <w:name w:val="Tekst dymka"/>
    <w:basedOn w:val="Normal"/>
    <w:qFormat/>
    <w:pPr/>
    <w:rPr>
      <w:rFonts w:ascii="Tahoma" w:hAnsi="Tahoma" w:cs="Tahoma"/>
      <w:sz w:val="16"/>
      <w:szCs w:val="16"/>
    </w:rPr>
  </w:style>
  <w:style w:type="paragraph" w:styleId="Nagwek2Title2">
    <w:name w:val="Nagłówek 2.Title 2"/>
    <w:basedOn w:val="Normal"/>
    <w:qFormat/>
    <w:pPr>
      <w:tabs>
        <w:tab w:val="clear" w:pos="709"/>
        <w:tab w:val="left" w:pos="567" w:leader="none"/>
      </w:tabs>
      <w:ind w:left="567" w:right="0" w:hanging="567"/>
    </w:pPr>
    <w:rPr/>
  </w:style>
  <w:style w:type="paragraph" w:styleId="2">
    <w:name w:val="2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3">
    <w:name w:val="3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4">
    <w:name w:val="4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5">
    <w:name w:val="5"/>
    <w:basedOn w:val="Normal"/>
    <w:qFormat/>
    <w:pPr>
      <w:shd w:val="clear" w:fill="99CC00"/>
    </w:pPr>
    <w:rPr>
      <w:rFonts w:ascii="Arial" w:hAnsi="Arial" w:cs="Arial"/>
      <w:b/>
      <w:spacing w:val="20"/>
      <w:sz w:val="26"/>
      <w:szCs w:val="26"/>
      <w:lang w:val="pl-PL"/>
    </w:rPr>
  </w:style>
  <w:style w:type="paragraph" w:styleId="I1">
    <w:name w:val="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III1">
    <w:name w:val="III.1"/>
    <w:basedOn w:val="Nagwek2"/>
    <w:qFormat/>
    <w:pPr>
      <w:numPr>
        <w:ilvl w:val="0"/>
        <w:numId w:val="0"/>
      </w:numPr>
    </w:pPr>
    <w:rPr>
      <w:rFonts w:ascii="Arial" w:hAnsi="Arial" w:eastAsia="Times New Roman" w:cs="Times New Roman"/>
      <w:i w:val="false"/>
      <w:sz w:val="22"/>
      <w:szCs w:val="22"/>
      <w:lang w:val="pl-PL"/>
    </w:rPr>
  </w:style>
  <w:style w:type="paragraph" w:styleId="BBF1Stopie">
    <w:name w:val="BBF-1 Stopień"/>
    <w:basedOn w:val="Normal"/>
    <w:next w:val="Normal"/>
    <w:qFormat/>
    <w:pPr>
      <w:spacing w:before="0" w:after="120"/>
      <w:jc w:val="both"/>
    </w:pPr>
    <w:rPr>
      <w:rFonts w:ascii="Arial" w:hAnsi="Arial" w:cs="Arial"/>
      <w:b/>
      <w:sz w:val="24"/>
      <w:szCs w:val="24"/>
    </w:rPr>
  </w:style>
  <w:style w:type="paragraph" w:styleId="Nagwekwykazurde1">
    <w:name w:val="Nagłówek wykazu źródeł1"/>
    <w:basedOn w:val="Nagwek1"/>
    <w:next w:val="Normal"/>
    <w:qFormat/>
    <w:pPr>
      <w:keepLines/>
      <w:numPr>
        <w:ilvl w:val="0"/>
        <w:numId w:val="0"/>
      </w:numPr>
      <w:spacing w:lineRule="auto" w:line="252" w:before="240" w:after="0"/>
      <w:ind w:left="0" w:right="0" w:hanging="0"/>
    </w:pPr>
    <w:rPr>
      <w:b w:val="false"/>
      <w:bCs w:val="false"/>
      <w:color w:val="2F5496"/>
      <w:kern w:val="0"/>
    </w:rPr>
  </w:style>
  <w:style w:type="paragraph" w:styleId="Spistreci2">
    <w:name w:val="TOC 2"/>
    <w:basedOn w:val="Normal"/>
    <w:next w:val="Normal"/>
    <w:pPr>
      <w:spacing w:lineRule="auto" w:line="252" w:before="0" w:after="100"/>
      <w:ind w:left="220" w:right="0" w:hanging="0"/>
    </w:pPr>
    <w:rPr>
      <w:rFonts w:ascii="Calibri" w:hAnsi="Calibri" w:eastAsia="Times New Roman" w:cs="Calibri"/>
      <w:sz w:val="22"/>
      <w:szCs w:val="22"/>
    </w:rPr>
  </w:style>
  <w:style w:type="paragraph" w:styleId="Spistreci1">
    <w:name w:val="TOC 1"/>
    <w:basedOn w:val="Normal"/>
    <w:next w:val="Normal"/>
    <w:pPr>
      <w:spacing w:lineRule="auto" w:line="252" w:before="0" w:after="100"/>
    </w:pPr>
    <w:rPr>
      <w:rFonts w:ascii="Calibri" w:hAnsi="Calibri" w:eastAsia="Times New Roman" w:cs="Calibri"/>
      <w:sz w:val="22"/>
      <w:szCs w:val="22"/>
    </w:rPr>
  </w:style>
  <w:style w:type="paragraph" w:styleId="Spistreci3">
    <w:name w:val="TOC 3"/>
    <w:basedOn w:val="Normal"/>
    <w:next w:val="Normal"/>
    <w:pPr>
      <w:spacing w:lineRule="auto" w:line="252" w:before="0" w:after="100"/>
      <w:ind w:left="440" w:right="0" w:hanging="0"/>
    </w:pPr>
    <w:rPr>
      <w:rFonts w:ascii="Calibri" w:hAnsi="Calibri" w:eastAsia="Times New Roman" w:cs="Calibri"/>
      <w:sz w:val="22"/>
      <w:szCs w:val="22"/>
    </w:rPr>
  </w:style>
  <w:style w:type="paragraph" w:styleId="Zawartoramki">
    <w:name w:val="Zawartość ramki"/>
    <w:basedOn w:val="Normal"/>
    <w:qFormat/>
    <w:pPr/>
    <w:rPr/>
  </w:style>
  <w:style w:type="paragraph" w:styleId="Zawartotabeli">
    <w:name w:val="Zawartość tabeli"/>
    <w:basedOn w:val="Normal"/>
    <w:qFormat/>
    <w:pPr>
      <w:widowControl w:val="false"/>
      <w:suppressLineNumbers/>
      <w:bidi w:val="0"/>
      <w:jc w:val="left"/>
    </w:pPr>
    <w:rPr>
      <w:rFonts w:ascii="Liberation Serif" w:hAnsi="Liberation Serif" w:eastAsia="NSimSun" w:cs="Arial"/>
      <w:color w:val="auto"/>
      <w:kern w:val="0"/>
      <w:sz w:val="24"/>
      <w:szCs w:val="24"/>
      <w:lang w:val="pl-PL" w:eastAsia="zh-CN" w:bidi="hi-IN"/>
    </w:rPr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paragraph" w:styleId="Standard">
    <w:name w:val="Standard"/>
    <w:qFormat/>
    <w:pPr>
      <w:widowControl/>
      <w:suppressAutoHyphens w:val="true"/>
      <w:bidi w:val="0"/>
      <w:spacing w:lineRule="auto" w:line="276" w:before="0" w:after="200"/>
      <w:jc w:val="left"/>
      <w:textAlignment w:val="baseline"/>
    </w:pPr>
    <w:rPr>
      <w:rFonts w:ascii="Calibri" w:hAnsi="Calibri" w:eastAsia="Calibri" w:cs="Calibri"/>
      <w:color w:val="auto"/>
      <w:kern w:val="2"/>
      <w:sz w:val="22"/>
      <w:szCs w:val="22"/>
      <w:lang w:val="pl-PL" w:eastAsia="zh-CN" w:bidi="ar-SA"/>
    </w:rPr>
  </w:style>
  <w:style w:type="paragraph" w:styleId="Textbody">
    <w:name w:val="Text body"/>
    <w:basedOn w:val="Standard"/>
    <w:qFormat/>
    <w:pPr>
      <w:spacing w:before="0" w:after="140"/>
    </w:pPr>
    <w:rPr>
      <w:rFonts w:ascii="Liberation Serif;Times New Roman" w:hAnsi="Liberation Serif;Times New Roman" w:eastAsia="NSimSun" w:cs="Arial"/>
      <w:sz w:val="24"/>
      <w:szCs w:val="24"/>
      <w:lang w:bidi="hi-IN"/>
    </w:rPr>
  </w:style>
  <w:style w:type="paragraph" w:styleId="Nagwekwykazurde2">
    <w:name w:val="Nagłówek wykazu źródeł2"/>
    <w:basedOn w:val="Nagwek1"/>
    <w:next w:val="Normal"/>
    <w:qFormat/>
    <w:pPr>
      <w:keepLines/>
      <w:numPr>
        <w:ilvl w:val="0"/>
        <w:numId w:val="0"/>
      </w:numPr>
      <w:suppressAutoHyphens w:val="false"/>
      <w:spacing w:lineRule="auto" w:line="252" w:before="240" w:after="0"/>
      <w:ind w:left="0" w:right="0" w:hanging="0"/>
    </w:pPr>
    <w:rPr>
      <w:rFonts w:ascii="Calibri Light" w:hAnsi="Calibri Light" w:eastAsia="Times New Roman" w:cs="Times New Roman"/>
      <w:b w:val="false"/>
      <w:bCs w:val="false"/>
      <w:color w:val="2F5496"/>
      <w:kern w:val="0"/>
    </w:rPr>
  </w:style>
  <w:style w:type="paragraph" w:styleId="Tekst">
    <w:name w:val="tekst"/>
    <w:basedOn w:val="Normal"/>
    <w:qFormat/>
    <w:pPr>
      <w:widowControl w:val="false"/>
      <w:suppressAutoHyphens w:val="true"/>
      <w:ind w:left="708" w:right="0" w:hanging="0"/>
      <w:jc w:val="both"/>
    </w:pPr>
    <w:rPr>
      <w:rFonts w:ascii="Arial" w:hAnsi="Arial" w:eastAsia="Arial" w:cs="Arial"/>
      <w:szCs w:val="20"/>
    </w:rPr>
  </w:style>
  <w:style w:type="paragraph" w:styleId="TOAHeading">
    <w:name w:val="TOA Heading"/>
    <w:basedOn w:val="Nagwek"/>
    <w:qFormat/>
    <w:pPr>
      <w:suppressLineNumbers/>
      <w:ind w:left="0" w:hanging="0"/>
    </w:pPr>
    <w:rPr>
      <w:b/>
      <w:bCs/>
      <w:sz w:val="32"/>
      <w:szCs w:val="32"/>
    </w:rPr>
  </w:style>
  <w:style w:type="numbering" w:styleId="WW8Num1">
    <w:name w:val="WW8Num1"/>
    <w:qFormat/>
  </w:style>
  <w:style w:type="numbering" w:styleId="WW8Num2">
    <w:name w:val="WW8Num2"/>
    <w:qFormat/>
  </w:style>
  <w:style w:type="numbering" w:styleId="WW8Num3">
    <w:name w:val="WW8Num3"/>
    <w:qFormat/>
  </w:style>
  <w:style w:type="numbering" w:styleId="WW8Num4">
    <w:name w:val="WW8Num4"/>
    <w:qFormat/>
  </w:style>
  <w:style w:type="numbering" w:styleId="WW8Num5">
    <w:name w:val="WW8Num5"/>
    <w:qFormat/>
  </w:style>
  <w:style w:type="numbering" w:styleId="WW8Num6">
    <w:name w:val="WW8Num6"/>
    <w:qFormat/>
  </w:style>
  <w:style w:type="numbering" w:styleId="WW8Num7">
    <w:name w:val="WW8Num7"/>
    <w:qFormat/>
  </w:style>
  <w:style w:type="numbering" w:styleId="WW8Num8">
    <w:name w:val="WW8Num8"/>
    <w:qFormat/>
  </w:style>
  <w:style w:type="numbering" w:styleId="WW8Num9">
    <w:name w:val="WW8Num9"/>
    <w:qFormat/>
  </w:style>
  <w:style w:type="numbering" w:styleId="WW8Num10">
    <w:name w:val="WW8Num10"/>
    <w:qFormat/>
  </w:style>
  <w:style w:type="numbering" w:styleId="WW8Num11">
    <w:name w:val="WW8Num11"/>
    <w:qFormat/>
  </w:style>
  <w:style w:type="numbering" w:styleId="WW8Num12">
    <w:name w:val="WW8Num12"/>
    <w:qFormat/>
  </w:style>
  <w:style w:type="numbering" w:styleId="WW8Num13">
    <w:name w:val="WW8Num13"/>
    <w:qFormat/>
  </w:style>
  <w:style w:type="numbering" w:styleId="WW8Num14">
    <w:name w:val="WW8Num14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numbering" Target="numbering.xml"/><Relationship Id="rId8" Type="http://schemas.openxmlformats.org/officeDocument/2006/relationships/fontTable" Target="fontTable.xml"/><Relationship Id="rId9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005F_x0000_</Template>
  <TotalTime>835</TotalTime>
  <Application>LibreOffice/6.1.2.1$Windows_X86_64 LibreOffice_project/65905a128db06ba48db947242809d14d3f9a93fe</Application>
  <Pages>18</Pages>
  <Words>2093</Words>
  <Characters>15197</Characters>
  <CharactersWithSpaces>17178</CharactersWithSpaces>
  <Paragraphs>175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2021-06-29T12:44:00Z</dcterms:created>
  <dc:creator>S.Kobylarz</dc:creator>
  <dc:description/>
  <dc:language>pl-PL</dc:language>
  <cp:lastModifiedBy/>
  <cp:lastPrinted>2023-01-25T05:50:00Z</cp:lastPrinted>
  <dcterms:modified xsi:type="dcterms:W3CDTF">2023-05-04T09:30:40Z</dcterms:modified>
  <cp:revision>184</cp:revision>
  <dc:subject/>
  <dc:title>Projekt Budowlany</dc:title>
</cp:coreProperties>
</file>