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spacing w:lineRule="auto" w:line="360"/>
        <w:ind w:left="708" w:right="0" w:hanging="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OŚWIADCZENIE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/>
      </w:pPr>
      <w:r>
        <w:rPr>
          <w:i/>
          <w:sz w:val="22"/>
          <w:szCs w:val="22"/>
        </w:rPr>
        <w:t xml:space="preserve">Na podstawie art. 34 </w:t>
      </w:r>
      <w:r>
        <w:rPr>
          <w:i/>
          <w:iCs/>
          <w:sz w:val="22"/>
          <w:szCs w:val="22"/>
        </w:rPr>
        <w:t>Ustawy z dnia 7 lipca 1994 r. Prawo budowlane</w:t>
      </w:r>
      <w:r>
        <w:rPr>
          <w:i/>
          <w:sz w:val="22"/>
          <w:szCs w:val="22"/>
        </w:rPr>
        <w:t xml:space="preserve"> z późniejszymi zmianami</w:t>
      </w:r>
      <w:r>
        <w:rPr>
          <w:i/>
          <w:lang w:val="pl-PL" w:eastAsia="pl-PL"/>
        </w:rPr>
        <w:t xml:space="preserve"> </w:t>
      </w:r>
      <w:r>
        <w:rPr>
          <w:i/>
          <w:sz w:val="22"/>
          <w:szCs w:val="22"/>
        </w:rPr>
        <w:t>oświadczam, iż niniejsza dokumentacja projektowa została sporządzona zgodnie z obowiązującymi przepisami oraz zasadami wiedzy technicznej, jest w swoim zakresie kompletna oraz spełnia wymagania dla celu, któremu ma służyć.</w:t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/>
      </w:pP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Kwiecień</w:t>
      </w:r>
      <w:r>
        <w:rPr>
          <w:i/>
          <w:sz w:val="22"/>
          <w:szCs w:val="22"/>
        </w:rPr>
        <w:t>, 202</w:t>
      </w: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3</w:t>
      </w:r>
      <w:r>
        <w:rPr>
          <w:i/>
          <w:sz w:val="22"/>
          <w:szCs w:val="22"/>
        </w:rPr>
        <w:t xml:space="preserve"> r.</w:t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TOAHeading"/>
        <w:jc w:val="center"/>
        <w:rPr/>
      </w:pPr>
      <w:r>
        <w:rPr>
          <w:sz w:val="24"/>
          <w:szCs w:val="24"/>
        </w:rPr>
        <w:t>Spis treści</w:t>
      </w:r>
    </w:p>
    <w:p>
      <w:pPr>
        <w:pStyle w:val="Spistreci1"/>
        <w:tabs>
          <w:tab w:val="clear" w:pos="709"/>
          <w:tab w:val="right" w:pos="9483" w:leader="dot"/>
        </w:tabs>
        <w:rPr/>
      </w:pPr>
      <w:r>
        <w:fldChar w:fldCharType="begin"/>
      </w:r>
      <w:r>
        <w:rPr>
          <w:rStyle w:val="Czeindeksu"/>
        </w:rPr>
        <w:instrText> TOC \f \o "1-9" \h</w:instrText>
      </w:r>
      <w:r>
        <w:rPr>
          <w:rStyle w:val="Czeindeksu"/>
        </w:rPr>
        <w:fldChar w:fldCharType="separate"/>
      </w:r>
      <w:hyperlink w:anchor="__RefHeading___Toc75861306">
        <w:r>
          <w:rPr>
            <w:rStyle w:val="Czeindeksu"/>
          </w:rPr>
          <w:t>UPRAWNIENIA I ZAŚWIADCZENIA O PRZYNALEŻNOŚCI DO OKRĘGOWEJ IZBY INŻYNIERÓW</w:t>
          <w:tab/>
          <w:t>4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3_2367410010">
        <w:r>
          <w:rPr>
            <w:rStyle w:val="Czeindeksu"/>
          </w:rPr>
          <w:t>PROJEKT ZAGOSPODAROWANIA TERENU</w:t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8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PRZEDMIOT INWESTYCJI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9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INWESTOR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0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PODSTAWA OPRACOWANIA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1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>ISTNIEJĄCY STAN ZAGOSPODAROWANIA DZIAŁKI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2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>PROJEKTOWANE ZAGOSPODAROWANIE DZIAŁKI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3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>DANE INFORMUJĄCE O WPISIE TERENU DO REJESTRU ZABYTKÓW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4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>DANE OKREŚLAJĄCE WPŁYW EKSPLOATACJI GÓRNICZEJ NA TEREN OBJĘTY INWESTYCJĄ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5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>INFORMACJA O CHARAKTERZE I CECHACH ISTNIEJĄCYCH I PRZEWIDYWANYCH ZAGROŻEŃ DLA ŚRODOWISKA ORAZ HIGIENY I ZDROWIA UŻYTKOWNIKÓW</w:t>
        </w:r>
        <w:r>
          <w:rPr>
            <w:rStyle w:val="Czeindeksu"/>
          </w:rPr>
          <w:tab/>
          <w:t>9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6">
        <w:r>
          <w:rPr>
            <w:rStyle w:val="Czeindeksu"/>
          </w:rPr>
          <w:t xml:space="preserve">9. </w:t>
        </w:r>
        <w:r>
          <w:rPr>
            <w:rStyle w:val="Czeindeksu"/>
            <w:i w:val="false"/>
            <w:iCs w:val="false"/>
          </w:rPr>
          <w:t>UWAGI KOŃCOWE</w:t>
        </w:r>
        <w:r>
          <w:rPr>
            <w:rStyle w:val="Czeindeksu"/>
          </w:rPr>
          <w:tab/>
          <w:t>9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7">
        <w:r>
          <w:rPr>
            <w:rStyle w:val="Czeindeksu"/>
          </w:rPr>
          <w:t xml:space="preserve"> </w:t>
        </w:r>
        <w:r>
          <w:rPr>
            <w:rStyle w:val="Czeindeksu"/>
          </w:rPr>
          <w:t>ZAGOSPODAROWANIA TERENU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8">
        <w:r>
          <w:rPr>
            <w:rStyle w:val="Czeindeksu"/>
          </w:rPr>
          <w:t>CZĘŚĆ RYSUNKOWA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0_1339427135">
        <w:r>
          <w:rPr>
            <w:rStyle w:val="Czeindeksu"/>
          </w:rPr>
          <w:t>1. Plan orientacyjny (rys. nr 1).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2_1339427135">
        <w:r>
          <w:rPr>
            <w:rStyle w:val="Czeindeksu"/>
          </w:rPr>
          <w:t>2. Plan sytuacyjny (rys. nr 2.a – 2.c).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5_2367410010">
        <w:r>
          <w:rPr>
            <w:rStyle w:val="Czeindeksu"/>
          </w:rPr>
          <w:t xml:space="preserve"> </w:t>
        </w:r>
        <w:r>
          <w:rPr>
            <w:rStyle w:val="Czeindeksu"/>
          </w:rPr>
          <w:t>INFORMACJA DOTYCZĄCA PLANU BEZPIECZEŃSTWA I OCHRONY ZDROWIA</w:t>
          <w:tab/>
          <w:t>15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7_2367410010">
        <w:r>
          <w:rPr>
            <w:rStyle w:val="Czeindeksu"/>
          </w:rPr>
          <w:t>PROJEKT ARCHITEKTONICZNO-BUDOWLANY</w:t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19_2367410010">
        <w:r>
          <w:rPr>
            <w:rStyle w:val="Czeindeksu"/>
          </w:rPr>
          <w:t>1.  PRZEZNACZENIE I PROGRAM UŻYTKOWY OBIEKTU</w:t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2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 xml:space="preserve"> FORMA ARCHITEKTONICZNA I FUNKCJA OBIEKTU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1786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 xml:space="preserve"> UKŁAD KONSTRUKCYJNY PRZEBUDOWYWANYCH OBIEKTÓW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4">
        <w:r>
          <w:rPr>
            <w:rStyle w:val="Czeindeksu"/>
            <w:i w:val="false"/>
            <w:iCs w:val="false"/>
          </w:rPr>
          <w:t>ROZWIĄZANIA BUDOWLANE I TECHNICZNO-INSTALACYJNE ORAZ ROZWIĄZANIA TECHNICZNO-BUDOWLANE W MIEJSCACH CHARAKTERYSTYCZNYCH.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5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 xml:space="preserve"> ROZWIĄZANIA ZASADNICZYCH ELEMENTÓW WYPOSAŻENIA BUDOWLANO-INSTALACYJNEGO.</w:t>
        </w:r>
        <w:r>
          <w:rPr>
            <w:rStyle w:val="Czeindeksu"/>
          </w:rPr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6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 xml:space="preserve"> ROZWIĄZANIA I SPOSÓB FUNKCJONOWANIA ZASADNICZYCH URZĄDZEŃ INSTALACJI TECHNICZNYCH.</w:t>
        </w:r>
        <w:r>
          <w:rPr>
            <w:rStyle w:val="Czeindeksu"/>
          </w:rPr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7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 xml:space="preserve"> DANE TECHNICZNE OBIEKTU CHARAKTERYZUJĄCE JEGO WPŁYW NA ŚRODOWISKO, ZDROWIE LUDZI I OBIEKTY SĄSIEDNIE.</w:t>
        </w:r>
        <w:r>
          <w:rPr>
            <w:rStyle w:val="Czeindeksu"/>
          </w:rPr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8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 xml:space="preserve"> WARUNKI OCHRONY PRZECIWPOŻAROWEJ.</w:t>
        </w:r>
        <w:r>
          <w:rPr>
            <w:rStyle w:val="Czeindeksu"/>
          </w:rPr>
          <w:tab/>
          <w:t>19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21_2367410010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 xml:space="preserve"> UWAGI OGÓLNE.</w:t>
        </w:r>
        <w:r>
          <w:rPr>
            <w:rStyle w:val="Czeindeksu"/>
          </w:rPr>
          <w:tab/>
          <w:t>19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30">
        <w:r>
          <w:rPr>
            <w:rStyle w:val="Czeindeksu"/>
          </w:rPr>
          <w:t>CZĘŚĆ RYSUNKOWA</w:t>
          <w:tab/>
          <w:t>20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4_1339427135">
        <w:r>
          <w:rPr>
            <w:rStyle w:val="Czeindeksu"/>
          </w:rPr>
          <w:t>3. Szczegóły konstrukcyjne (rys. nr 3).</w:t>
          <w:tab/>
          <w:t>20</w:t>
        </w:r>
      </w:hyperlink>
    </w:p>
    <w:p>
      <w:pPr>
        <w:pStyle w:val="Nagwek1"/>
        <w:numPr>
          <w:ilvl w:val="0"/>
          <w:numId w:val="0"/>
        </w:numPr>
        <w:shd w:val="clear" w:fill="8EAADB"/>
        <w:ind w:left="0" w:hanging="0"/>
        <w:rPr/>
      </w:pPr>
      <w:bookmarkStart w:id="0" w:name="__RefHeading___Toc75861306"/>
      <w:bookmarkEnd w:id="0"/>
      <w:r>
        <w:rPr>
          <w:rFonts w:cs="Times New Roman" w:ascii="Times New Roman" w:hAnsi="Times New Roman"/>
          <w:sz w:val="24"/>
          <w:szCs w:val="24"/>
        </w:rPr>
        <w:t>UPRAWNIENIA I ZAŚWIADCZENIA O PRZYNALEŻNOŚCI DO OKRĘGOWEJ IZBY INŻYNIERÓW</w:t>
      </w:r>
      <w:r>
        <w:rPr>
          <w:sz w:val="24"/>
          <w:szCs w:val="24"/>
          <w:rFonts w:cs="Times New Roman" w:ascii="Times New Roman" w:hAnsi="Times New Roman"/>
        </w:rPr>
        <w:fldChar w:fldCharType="end"/>
      </w:r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6065520" cy="7248525"/>
            <wp:effectExtent l="0" t="0" r="0" b="0"/>
            <wp:docPr id="1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304" t="-208" r="-304" b="8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sz w:val="28"/>
          <w:szCs w:val="28"/>
        </w:rPr>
      </w:pPr>
      <w:r>
        <w:rPr/>
        <w:drawing>
          <wp:inline distT="0" distB="0" distL="0" distR="0">
            <wp:extent cx="6065520" cy="8539480"/>
            <wp:effectExtent l="0" t="0" r="0" b="0"/>
            <wp:docPr id="2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-304" t="-215" r="-304" b="-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151765</wp:posOffset>
            </wp:positionH>
            <wp:positionV relativeFrom="paragraph">
              <wp:posOffset>196215</wp:posOffset>
            </wp:positionV>
            <wp:extent cx="5791835" cy="8454390"/>
            <wp:effectExtent l="0" t="0" r="0" b="0"/>
            <wp:wrapSquare wrapText="largest"/>
            <wp:docPr id="3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845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rPr/>
      </w:pPr>
      <w:bookmarkStart w:id="1" w:name="__RefHeading___Toc413_2367410010"/>
      <w:bookmarkEnd w:id="1"/>
      <w:r>
        <w:rPr>
          <w:rStyle w:val="Mocnowyrniony"/>
          <w:rFonts w:cs="Times New Roman" w:ascii="Times New Roman" w:hAnsi="Times New Roman"/>
          <w:sz w:val="24"/>
          <w:szCs w:val="24"/>
        </w:rPr>
        <w:t>PROJEKT ZAGOSPODAROWANIA TERENU</w:t>
      </w:r>
    </w:p>
    <w:p>
      <w:pPr>
        <w:pStyle w:val="Normal"/>
        <w:rPr/>
      </w:pPr>
      <w:r>
        <w:rPr/>
      </w:r>
    </w:p>
    <w:p>
      <w:pPr>
        <w:pStyle w:val="Normal"/>
        <w:spacing w:lineRule="exact" w:line="280"/>
        <w:jc w:val="center"/>
        <w:rPr/>
      </w:pP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4"/>
          <w:szCs w:val="24"/>
        </w:rPr>
        <w:t>CZĘŚĆ OPISOWA</w:t>
      </w:r>
    </w:p>
    <w:p>
      <w:pPr>
        <w:pStyle w:val="Normal"/>
        <w:spacing w:lineRule="exact" w:line="280"/>
        <w:jc w:val="center"/>
        <w:rPr/>
      </w:pPr>
      <w:r>
        <w:rPr/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2" w:name="__RefHeading___Toc75861308"/>
      <w:bookmarkEnd w:id="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PRZEDMIOT INWESTYCJI</w:t>
      </w:r>
    </w:p>
    <w:p>
      <w:pPr>
        <w:pStyle w:val="Akapitzlist"/>
        <w:spacing w:lineRule="exact" w:line="280"/>
        <w:ind w:left="0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Przedmiotem opracowania jest uproszczona dokumentacja budowlano-wykonawcza na potrzeby inwestycji pn. 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,</w:t>
      </w:r>
      <w:r>
        <w:rPr>
          <w:rStyle w:val="Domylnaczcionkaakapitu"/>
          <w:rFonts w:eastAsia="Calibri" w:cs="Arial"/>
          <w:b w:val="false"/>
          <w:bCs w:val="false"/>
          <w:i/>
          <w:iCs/>
          <w:color w:val="000000"/>
          <w:kern w:val="0"/>
          <w:sz w:val="24"/>
          <w:szCs w:val="24"/>
          <w:lang w:val="pl-PL" w:eastAsia="pl-PL" w:bidi="ar-SA"/>
        </w:rPr>
        <w:t>,Opracowanie dokumentacji projektowych zwiększających dostępność osobom ze szczególnymi potrzebami w pasach drogowych ulic, których zarządcą jest Gmina Ostrowiec Świętokrzyski’’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  - </w:t>
      </w:r>
      <w:r>
        <w:rPr>
          <w:rStyle w:val="Domylnaczcionkaakapitu"/>
          <w:rFonts w:eastAsia="Calibri" w:cs="Arial"/>
          <w:b/>
          <w:bCs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ulica Armii Krajowej na wysokości bloku nr 13, 31, i 37.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>Zakres w/w inwestycji ogranicza się do wykonania przebudowy istniejącej drogi polegającej na zlokalizowaniu nowego przejścia dla pieszych oraz przeorganizowaniu istniejących miejsc postojowych na istniejących zatokach postojowych.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Lokalizacja inwestycji: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Pas drogowy – działki nr ew. </w:t>
      </w:r>
      <w:r>
        <w:rPr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17.2-50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, 15.4-78,  woj. świętokrzyskie, powiat ostrowiecki, </w:t>
        <w:br/>
        <w:t xml:space="preserve">gmina Ostrowiec Świętokrzyski, obręb geodezyjny Ostrowiec Świętokrzyski. </w:t>
        <w:br/>
      </w:r>
      <w:r>
        <w:rPr>
          <w:rFonts w:eastAsia="Arial" w:cs="Times New Roman" w:ascii="Times New Roman" w:hAnsi="Times New Roman"/>
          <w:sz w:val="24"/>
          <w:szCs w:val="24"/>
        </w:rPr>
        <w:t>Lokalizacja przedmiotowej inwestycji przedstawiona została na rysunku nr 1 pn. „Plan orientacyjny”.</w:t>
      </w:r>
    </w:p>
    <w:p>
      <w:pPr>
        <w:pStyle w:val="Akapitzlist"/>
        <w:spacing w:lineRule="exact" w:line="280"/>
        <w:ind w:left="284" w:right="0" w:hanging="0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3" w:name="__RefHeading___Toc75861309"/>
      <w:bookmarkEnd w:id="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INWESTOR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pacing w:lineRule="exact" w:line="280"/>
        <w:ind w:right="0" w:hanging="0"/>
        <w:rPr>
          <w:b/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Urząd Miasta Ostrowiec Świętokrzyski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ul. J. Głogowskiego 3/5, 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27-400 Ostrowiec Świętokrzyski</w:t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>
      <w:pPr>
        <w:pStyle w:val="Nagwek2"/>
        <w:numPr>
          <w:ilvl w:val="1"/>
          <w:numId w:val="4"/>
        </w:numPr>
        <w:rPr>
          <w:i w:val="false"/>
          <w:i w:val="false"/>
          <w:iCs w:val="false"/>
          <w:sz w:val="22"/>
          <w:szCs w:val="22"/>
        </w:rPr>
      </w:pPr>
      <w:bookmarkStart w:id="4" w:name="__RefHeading___Toc75861310"/>
      <w:bookmarkEnd w:id="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PODSTAWA OPRACOWANIA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>Podstawą opracowania jest:</w:t>
      </w:r>
    </w:p>
    <w:p>
      <w:pPr>
        <w:pStyle w:val="Akapitzlist"/>
        <w:numPr>
          <w:ilvl w:val="0"/>
          <w:numId w:val="6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Umowa z Inwestorem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Rozporządzenie Ministra Infrastruktury z dnia 24 czerwca 2022r w sprawie przepisów techniczno-budowlanych dotyczących dróg publicznych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Mapa mapa zasadnicza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Inwentaryzacja własna w terenie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Pozostałe związane akty prawne, normatywy, wytyczne.</w:t>
      </w:r>
    </w:p>
    <w:p>
      <w:pPr>
        <w:pStyle w:val="Akapitzlist"/>
        <w:numPr>
          <w:ilvl w:val="0"/>
          <w:numId w:val="0"/>
        </w:numPr>
        <w:tabs>
          <w:tab w:val="clear" w:pos="709"/>
          <w:tab w:val="left" w:pos="510" w:leader="none"/>
        </w:tabs>
        <w:spacing w:lineRule="exact" w:line="280"/>
        <w:ind w:left="1717" w:right="0" w:hanging="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5" w:name="__RefHeading___Toc75861311"/>
      <w:bookmarkEnd w:id="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ISTNIEJĄCY STAN ZAGOSPODAROWANIA DZIAŁKI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Rozważane odcinki ulicy Armii Krajowej zlokalizowane są w na działkach nr ew. </w:t>
      </w:r>
      <w:r>
        <w:rPr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17.2-50 oraz 15.4-78</w:t>
      </w:r>
      <w:r>
        <w:rPr>
          <w:rFonts w:cs="Times New Roman" w:ascii="Times New Roman" w:hAnsi="Times New Roman"/>
          <w:sz w:val="24"/>
          <w:szCs w:val="24"/>
        </w:rPr>
        <w:t>, które stanowią własność Inwestora.</w:t>
      </w:r>
    </w:p>
    <w:p>
      <w:pPr>
        <w:pStyle w:val="Standard"/>
        <w:bidi w:val="0"/>
        <w:spacing w:lineRule="exact" w:line="3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b/>
          <w:sz w:val="24"/>
          <w:szCs w:val="24"/>
        </w:rPr>
        <w:t>Parametry techniczne istniejącej drogi: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W stanie istniejącym ulica Armii Krajowej posiada przekrój uliczny z jezdnią bitumiczną wydzieloną krawężnikami oraz chodniki z kostki betonowej. Wzdłuż ulicy zorganizowane są zatoki i przystanki komunikacji miejskiej oraz zatoki postojowe obsługujące przyległe osiedle mieszkalne (wybrane zatoki autobusowe posiadają niedostateczną ilość miejsc dedykowanych osobom z niepełnosprawnością lub ich brak, co zostaje skorygowane niniejszym opracowaniem). </w:t>
        <w:br/>
        <w:t xml:space="preserve">Ulica posiada odwodnienie za pomocą kanalizacji deszczowej oraz oświetlenie. </w:t>
      </w:r>
    </w:p>
    <w:p>
      <w:pPr>
        <w:pStyle w:val="Standard"/>
        <w:numPr>
          <w:ilvl w:val="0"/>
          <w:numId w:val="0"/>
        </w:numPr>
        <w:bidi w:val="0"/>
        <w:spacing w:lineRule="auto" w:line="360" w:before="0" w:after="0"/>
        <w:ind w:left="720" w:right="0" w:hanging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cs="Times New Roman" w:ascii="Times New Roman" w:hAnsi="Times New Roman"/>
          <w:color w:val="auto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6" w:name="__RefHeading___Toc75861312"/>
      <w:bookmarkEnd w:id="6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PROJEKTOWANE ZAGOSPODAROWANIE DZIAŁKI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auto" w:line="276"/>
        <w:ind w:left="0" w:right="0" w:hanging="0"/>
        <w:jc w:val="both"/>
        <w:rPr/>
      </w:pPr>
      <w:r>
        <w:rPr>
          <w:sz w:val="24"/>
          <w:szCs w:val="24"/>
        </w:rPr>
        <w:t>Wszystkie roboty prowadzone będą w granicach istniejącego pasa drogowego (działek nr ew.</w:t>
      </w:r>
      <w:r>
        <w:rPr/>
        <w:t xml:space="preserve"> </w:t>
      </w:r>
      <w:r>
        <w:rPr>
          <w:sz w:val="24"/>
          <w:szCs w:val="24"/>
        </w:rPr>
        <w:t xml:space="preserve"> </w:t>
      </w:r>
      <w:r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  <w:t>17.2-50 oraz 15.4-78).</w:t>
      </w:r>
    </w:p>
    <w:p>
      <w:pPr>
        <w:pStyle w:val="Akapitzlist"/>
        <w:spacing w:lineRule="auto" w:line="276"/>
        <w:ind w:left="0" w:right="0" w:hanging="0"/>
        <w:jc w:val="both"/>
        <w:rPr/>
      </w:pPr>
      <w:r>
        <w:rPr>
          <w:sz w:val="24"/>
          <w:szCs w:val="24"/>
        </w:rPr>
        <w:t xml:space="preserve">Przedmiotowa inwestycja przewiduje wykonanie robót budowlanych </w:t>
      </w: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  <w:t>w ciągu ul. Armii Krajowej, w następujących lokalizacjach:</w:t>
      </w:r>
    </w:p>
    <w:p>
      <w:pPr>
        <w:pStyle w:val="Akapitzlist"/>
        <w:spacing w:lineRule="auto" w:line="276"/>
        <w:ind w:left="0" w:right="0" w:hanging="0"/>
        <w:jc w:val="both"/>
        <w:rPr>
          <w:rFonts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sz w:val="24"/>
          <w:szCs w:val="24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rejon bloku nr 13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(proj. roboty w obrębie istniejącej zatoki postojowej dla samochodów osobowych – przełożenie kostki betonowej, malowanie, ustawienie oznakowania)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rejon bloku nr 31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(proj. roboty w obrębie istniejącej zatoki postojowej dla samochodów osobowych – malowanie nawierzchni, ustawienie oznakowania 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jc w:val="both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rejon bloku nr 37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(proj. roboty polegające na wyznaczeniu nowego przejścia dla pieszych oraz zmianie lokalizacji przystanku autobusowego – rozbiórka fragmentu istniejącego chodnika z kostki betonowej, wbudowanie nawierzchni ostrzegawczych, malowanie nawierzchni, ustawienie oznakowania i doświetlenia przejścia).</w:t>
      </w:r>
    </w:p>
    <w:p>
      <w:pPr>
        <w:pStyle w:val="Akapitzlist"/>
        <w:spacing w:lineRule="exact" w:line="320"/>
        <w:ind w:left="0" w:right="0" w:hanging="0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</w:r>
    </w:p>
    <w:p>
      <w:pPr>
        <w:pStyle w:val="Akapitzlist"/>
        <w:spacing w:lineRule="exact" w:line="280"/>
        <w:ind w:left="720" w:right="0" w:hanging="0"/>
        <w:rPr/>
      </w:pPr>
      <w:r>
        <w:rPr>
          <w:b/>
          <w:bCs/>
          <w:sz w:val="24"/>
          <w:szCs w:val="24"/>
        </w:rPr>
        <w:t>ZESTAWIENIE POWIERZCHNI POSZCZEGÓLNYCH CZĘŚCI ZAGOSPODAROWANIA TERENU:</w:t>
      </w:r>
    </w:p>
    <w:p>
      <w:pPr>
        <w:pStyle w:val="Akapitzlist"/>
        <w:spacing w:lineRule="exact" w:line="280"/>
        <w:ind w:left="426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tbl>
      <w:tblPr>
        <w:tblW w:w="946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7662"/>
        <w:gridCol w:w="1740"/>
        <w:gridCol w:w="25"/>
        <w:gridCol w:w="39"/>
      </w:tblGrid>
      <w:tr>
        <w:trPr>
          <w:trHeight w:val="358" w:hRule="atLeast"/>
        </w:trPr>
        <w:tc>
          <w:tcPr>
            <w:tcW w:w="94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ind w:left="0" w:right="0" w:firstLine="426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ZESTAWIENIE POWIERZCHNI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</w:tr>
      <w:tr>
        <w:trPr>
          <w:trHeight w:val="258" w:hRule="atLeast"/>
        </w:trPr>
        <w:tc>
          <w:tcPr>
            <w:tcW w:w="7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Powierzchnia nawierzchni objętych robotami </w:t>
              <w:br/>
              <w:t>(naw. chodnikowe i nawierzchnie zatok postojowych - kostka betonowa)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ok. </w:t>
            </w:r>
            <w:r>
              <w:rPr>
                <w:rFonts w:eastAsia="Calibri" w:cs="Times New Roman" w:ascii="Times New Roman" w:hAnsi="Times New Roman"/>
                <w:i/>
                <w:iCs/>
                <w:color w:val="auto"/>
                <w:kern w:val="2"/>
                <w:sz w:val="24"/>
                <w:szCs w:val="24"/>
                <w:lang w:val="pl-PL" w:eastAsia="zh-CN" w:bidi="ar-SA"/>
              </w:rPr>
              <w:t>100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[m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]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</w:tr>
    </w:tbl>
    <w:p>
      <w:pPr>
        <w:pStyle w:val="Akapitzlist"/>
        <w:spacing w:lineRule="exact" w:line="280"/>
        <w:ind w:left="426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7" w:name="__RefHeading___Toc75861313"/>
      <w:bookmarkEnd w:id="7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INFORMUJĄCE O WPISIE TERENU DO REJESTRU ZABYTKÓW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Teren znajduje się poza strefą ochrony konserwatorskiej.</w:t>
      </w:r>
    </w:p>
    <w:p>
      <w:pPr>
        <w:pStyle w:val="Akapitzlist"/>
        <w:spacing w:lineRule="exact" w:line="28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tabs>
          <w:tab w:val="clear" w:pos="709"/>
          <w:tab w:val="left" w:pos="426" w:leader="none"/>
        </w:tabs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8" w:name="__RefHeading___Toc75861314"/>
      <w:bookmarkEnd w:id="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DANE OKREŚLAJĄCE WPŁYW EKSPLOATACJI GÓRNICZEJ NA TEREN </w:t>
        <w:tab/>
        <w:t>OBJĘTY   INWESTYCJĄ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rPr>
          <w:sz w:val="24"/>
          <w:szCs w:val="24"/>
        </w:rPr>
      </w:pPr>
      <w:r>
        <w:rPr>
          <w:sz w:val="24"/>
          <w:szCs w:val="24"/>
        </w:rPr>
        <w:t>Inwestycja nie znajduje się na terenach górniczych.</w:t>
      </w:r>
    </w:p>
    <w:p>
      <w:pPr>
        <w:pStyle w:val="Nagwek2"/>
        <w:numPr>
          <w:ilvl w:val="1"/>
          <w:numId w:val="4"/>
        </w:numPr>
        <w:ind w:left="426" w:right="0" w:hanging="426"/>
        <w:rPr>
          <w:i w:val="false"/>
          <w:i w:val="false"/>
          <w:iCs w:val="false"/>
          <w:sz w:val="24"/>
          <w:szCs w:val="24"/>
        </w:rPr>
      </w:pPr>
      <w:bookmarkStart w:id="9" w:name="__RefHeading___Toc75861315"/>
      <w:bookmarkEnd w:id="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INFORMACJA O CHARAKTERZE I CECHACH ISTNIEJĄCYCH I PRZEWIDYWANYCH ZAGROŻEŃ DLA ŚRODOWISKA ORAZ HIGIENY I ZDROWIA UŻYTKOWNIKÓW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Przyjęte w niniejszym projekcie rozwiązania przestrzenne, funkcjonalne i techniczne nie będą wpływać negatywnie na środowisko przyrodnicze, zdrowie ludzi jak również na inne obiekty budowlane.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 xml:space="preserve">Oddziaływania na środowisko w postacie emisji zanieczyszczeń gazowych, pyłowych będą miały charakter krótkotrwały, występujący jedynie na etapie prowadzenia robót budowlanych. Będą to zanieczyszczenia pochodzące od pracy silników spalinowych maszyn, urządzeń i pojazdów budowy wykorzystywanych do realizacji inwestycji. Odpady wytworzone na miejscu budowy, stanowiące odpad powstały przy wbudowywaniu poszczególnych rodzajów i gatunków materiałów budowlanych oddane zostaną do punktów utylizacji. Odpady nadające się do ponownego przetworzenia zostaną posegregowane rodzajowo, zebrane w pojemniki do tego celu przeznaczone i oddane do lokalnego punktu gromadzenia odpadów.   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>Zmodernizowane obiekty w postaci nawierzchni przeznaczonej dla ruchu pieszych i pojazdów nie wpłyną na pogorszenie klimatu akustycznego.  Jakiekolwiek uciążliwości w tym zakresie będą związane wyłącznie z etapem realizacji inwestycji i będą miały charakter krótkotrwały.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  <w:bCs/>
        </w:rPr>
        <w:t>Mając na względzie zakres przewidzianych do wykonania prac należy stwierdzić, że zarówno roboty budowlane, jak i późniejsza eksploatacja nie będą wywierały ujemnego wpływu na wody powierzchniowe i podziemne na tym terenie – bez zmian w stosunku do stanu istniejącego.</w:t>
      </w:r>
      <w:r>
        <w:rPr>
          <w:rFonts w:cs="Times New Roman" w:ascii="Times New Roman" w:hAnsi="Times New Roman"/>
        </w:rPr>
        <w:t xml:space="preserve">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 xml:space="preserve">Warunki odwodnienia – bez zmian w stosunku do stanu istniejącego (kanalizacja deszczowa).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/>
      </w:pPr>
      <w:r>
        <w:rPr>
          <w:sz w:val="24"/>
          <w:szCs w:val="24"/>
        </w:rPr>
        <w:t>Planowana inwestycja ma charakter nieuciążliwy i nie stanowi inwestycji zaliczanych do przedsięwzięć mogących znacząco oddziaływać na środowisko naturalne w rozumieniu Rozporządzenia Rady Ministrów z dnia 9.11.2010 w sprawie przedsięwzięć mogących znacząco oddziaływać na środowisko</w:t>
      </w:r>
      <w:r>
        <w:rPr>
          <w:rFonts w:eastAsia="NSimSun"/>
          <w:bCs/>
          <w:sz w:val="24"/>
          <w:szCs w:val="24"/>
          <w:lang w:bidi="hi-IN"/>
        </w:rPr>
        <w:t>.</w:t>
      </w:r>
    </w:p>
    <w:p>
      <w:pPr>
        <w:pStyle w:val="Textbody"/>
        <w:bidi w:val="0"/>
        <w:spacing w:lineRule="exact" w:line="280" w:before="0" w:after="0"/>
        <w:ind w:left="426" w:right="0" w:hanging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br/>
      </w:r>
    </w:p>
    <w:p>
      <w:pPr>
        <w:pStyle w:val="Akapitzlist"/>
        <w:spacing w:lineRule="exact" w:line="280"/>
        <w:ind w:left="400" w:right="0" w:hanging="0"/>
        <w:jc w:val="both"/>
        <w:rPr>
          <w:rFonts w:eastAsia="NSimSun"/>
          <w:sz w:val="24"/>
          <w:szCs w:val="24"/>
          <w:lang w:bidi="hi-IN"/>
        </w:rPr>
      </w:pPr>
      <w:r>
        <w:rPr>
          <w:rFonts w:eastAsia="NSimSun"/>
          <w:sz w:val="24"/>
          <w:szCs w:val="24"/>
          <w:lang w:bidi="hi-IN"/>
        </w:rPr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  <w:t>Uwarunkowania mające wpływ na higienę i zdrowie użytkowników projektowanych obiektów i ich otoczenia.</w:t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color w:val="CE181E"/>
        </w:rPr>
      </w:pPr>
      <w:r>
        <w:rPr>
          <w:rFonts w:cs="Times New Roman" w:ascii="Times New Roman" w:hAnsi="Times New Roman"/>
          <w:color w:val="CE181E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>Z uwagi na charakter i lokalizację obiektu, nie występują uwarunkowania wpływające szczególnie negatywnie na zdrowie czy higienę użytkowników.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 xml:space="preserve">Modernizowane nawierzchnie zapewnią możliwość komfortowego i bezpiecznego korzystania przez wszystkich uczestników ruchu. </w:t>
      </w:r>
    </w:p>
    <w:p>
      <w:pPr>
        <w:pStyle w:val="Akapitzlist"/>
        <w:spacing w:lineRule="exact" w:line="280"/>
        <w:ind w:left="0" w:right="0" w:hanging="0"/>
        <w:jc w:val="both"/>
        <w:rPr>
          <w:lang w:eastAsia="en-US"/>
        </w:rPr>
      </w:pPr>
      <w:r>
        <w:rPr>
          <w:lang w:eastAsia="en-US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0" w:name="__RefHeading___Toc75861316"/>
      <w:bookmarkEnd w:id="1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KOŃCOWE</w:t>
      </w:r>
    </w:p>
    <w:p>
      <w:pPr>
        <w:pStyle w:val="Normal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widowControl/>
        <w:suppressAutoHyphens w:val="true"/>
        <w:bidi w:val="0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Wszelkie roboty budowlane należy wykonywać zgodnie z dokumentacją projektową pod nadzorem osoby posiadającej stosowne uprawnienia do kierowania robotami w danej specjalności.  Szczegółowe wymagania i zalecenia dotyczące realizacji robót budowlanych opisuje część opracowania pn. projekt architektoniczno-budowlany oraz odpowiednie specyfikacje techniczne wykonania i odbioru robót budowlanych.</w:t>
      </w:r>
    </w:p>
    <w:p>
      <w:pPr>
        <w:pStyle w:val="Normal"/>
        <w:ind w:left="400" w:right="0" w:hanging="0"/>
        <w:jc w:val="right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1" w:name="__RefHeading___Toc75861317"/>
      <w:bookmarkEnd w:id="11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>ZAGOSPODAROWANIA TERENU</w:t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2" w:name="__RefHeading___Toc75861318"/>
      <w:bookmarkEnd w:id="12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r>
        <w:rPr>
          <w:b w:val="false"/>
          <w:bCs w:val="false"/>
          <w:i w:val="false"/>
          <w:iCs w:val="false"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sz w:val="24"/>
          <w:szCs w:val="24"/>
        </w:rPr>
      </w:pPr>
      <w:bookmarkStart w:id="13" w:name="__RefHeading___Toc3220_1339427135"/>
      <w:bookmarkEnd w:id="13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orientacyjny (rys. nr 1).</w:t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14" w:name="__RefHeading___Toc3222_1339427135"/>
      <w:bookmarkEnd w:id="14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sytuacyjny (rys. nr 2.a – 2.c).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5" w:name="__RefHeading___Toc415_2367410010"/>
      <w:bookmarkEnd w:id="15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INFORMACJA DOTYCZĄCA PLANU BEZPIECZEŃSTWA </w:t>
        <w:br/>
        <w:t>I OCHRONY ZDROWIA</w:t>
      </w:r>
    </w:p>
    <w:p>
      <w:pPr>
        <w:pStyle w:val="Normal"/>
        <w:jc w:val="center"/>
        <w:rPr/>
      </w:pPr>
      <w:r>
        <w:rPr/>
      </w:r>
    </w:p>
    <w:p>
      <w:pPr>
        <w:pStyle w:val="Normal"/>
        <w:numPr>
          <w:ilvl w:val="0"/>
          <w:numId w:val="5"/>
        </w:numPr>
        <w:ind w:left="284" w:right="-156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Zakres robót zamierzenia budowlanego oraz kolejność realizacji urządzeń towarzyszących</w:t>
      </w:r>
    </w:p>
    <w:p>
      <w:pPr>
        <w:pStyle w:val="Normal"/>
        <w:ind w:left="142" w:right="0" w:hanging="0"/>
        <w:rPr>
          <w:sz w:val="24"/>
          <w:szCs w:val="24"/>
        </w:rPr>
      </w:pPr>
      <w:r>
        <w:rPr>
          <w:sz w:val="24"/>
          <w:szCs w:val="24"/>
        </w:rPr>
        <w:t>Główne roboty budowlane prowadzone będą w następującej kolejności: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wytyczenie geodezyjne 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rozbiórki istniejących nawierzchni z kostki betonowej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infrastruktury podziemnej oraz elementów zabezpieczających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instalacja urządzeń doświetlających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nowych elementów nawierzchniowych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>odtworzenie rozebranych nawierzchni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wykonanie oznakowania poziomego i pionowego</w:t>
      </w:r>
    </w:p>
    <w:p>
      <w:pPr>
        <w:pStyle w:val="Normal"/>
        <w:ind w:left="862" w:right="0" w:hanging="0"/>
        <w:rPr>
          <w:iCs/>
          <w:sz w:val="24"/>
          <w:szCs w:val="24"/>
        </w:rPr>
      </w:pPr>
      <w:r>
        <w:rPr>
          <w:iCs/>
          <w:sz w:val="24"/>
          <w:szCs w:val="24"/>
        </w:rPr>
      </w:r>
    </w:p>
    <w:p>
      <w:pPr>
        <w:pStyle w:val="Normal"/>
        <w:ind w:left="708" w:right="0" w:hanging="566"/>
        <w:rPr>
          <w:sz w:val="24"/>
          <w:szCs w:val="24"/>
        </w:rPr>
      </w:pPr>
      <w:r>
        <w:rPr>
          <w:sz w:val="24"/>
          <w:szCs w:val="24"/>
        </w:rPr>
        <w:t>Wykaz istniejących obiektów budowlanych:</w:t>
      </w:r>
    </w:p>
    <w:p>
      <w:pPr>
        <w:pStyle w:val="Normal"/>
        <w:rPr>
          <w:u w:val="none"/>
        </w:rPr>
      </w:pPr>
      <w:r>
        <w:rPr>
          <w:sz w:val="24"/>
          <w:szCs w:val="24"/>
          <w:u w:val="none"/>
        </w:rPr>
        <w:t xml:space="preserve">  </w:t>
      </w:r>
      <w:r>
        <w:rPr>
          <w:sz w:val="24"/>
          <w:szCs w:val="24"/>
          <w:u w:val="none"/>
        </w:rPr>
        <w:t>Przyległa do drogi zabudowa wielorodzinna.</w:t>
      </w:r>
    </w:p>
    <w:p>
      <w:pPr>
        <w:pStyle w:val="Akapitzlist"/>
        <w:ind w:left="142" w:right="0" w:hanging="0"/>
        <w:jc w:val="both"/>
        <w:rPr>
          <w:rFonts w:eastAsia="Times New Roman" w:cs="Times New Roman"/>
          <w:i w:val="false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pPr>
      <w:r>
        <w:rPr>
          <w:rFonts w:eastAsia="Times New Roman" w:cs="Times New Roman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r>
    </w:p>
    <w:p>
      <w:pPr>
        <w:pStyle w:val="Akapitzlist"/>
        <w:ind w:left="142" w:right="0" w:hanging="0"/>
        <w:jc w:val="both"/>
        <w:rPr>
          <w:rFonts w:eastAsia="Times New Roman" w:cs="Times New Roman"/>
          <w:i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pPr>
      <w:r>
        <w:rPr>
          <w:rFonts w:eastAsia="Times New Roman" w:cs="Times New Roman"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/>
      </w:pP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Elementy, które mogą stwarzać zagrożenie dla bezpieczeństwa i zdrowia ludzi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Planowana modernizacja nawierzchni prowadzona będzie w typowej technologii co za tym idzie, nie przewiduje się czynności stwarzających ponadstandardowe ryzyko powstania zagrożenia bezpieczeństwa i zdrowia ludzi.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Nie przewiduje się wykorzystywania ciężkich elementów prefabrykowanych jak również udziału innych szczególnie niebezpiecznych robót budowlanych.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Zagrożenia, które mogą wystąpić w trakcie budowy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Czynności, które mogą stanowić potencjalne zagrożenie w trakcie realizacji robót budowlanych związane będą między innymi z: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pracą sprzętu w tracie dowozu i rozładunku materiałów budowlanych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maszyn w trakcie układania nawierzchni drogowych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w rejonie uzbrojenia podziemnego / naziemnego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</w:r>
    </w:p>
    <w:p>
      <w:pPr>
        <w:pStyle w:val="Normal"/>
        <w:ind w:left="708" w:right="0" w:hanging="566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Akapitzlist"/>
        <w:numPr>
          <w:ilvl w:val="0"/>
          <w:numId w:val="5"/>
        </w:numPr>
        <w:spacing w:before="0" w:after="0"/>
        <w:ind w:left="284" w:right="0" w:hanging="284"/>
        <w:contextualSpacing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Sposób prowadzenia instruktażu pracowników przed przystąpieniem do realizacji robót szczególnie niebezpiecznych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budowy jest zobowiązany do udzielenia szczegółowego instruktażu zatrudnionym na budowie pracownikom w zakresie przestrzegania obowiązujących przepisów i zasad bezpieczeństwa pracy. Dodatkowo pracownicy, przed rozpoczęciem robót, powinni być poinformowani przez przełożonego o zakresie ich obowiązków, sposobie wykonywania pracy na wyznaczonym stanowisku, ryzyku zawodowym związanym z wykonywaną pracą oraz o zasadach ochrony przed zagrożeniami.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numPr>
          <w:ilvl w:val="0"/>
          <w:numId w:val="5"/>
        </w:numPr>
        <w:ind w:left="284" w:right="0" w:hanging="284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Środki techniczne i organizacyjne zapewniające bezpieczeństwo</w:t>
      </w:r>
    </w:p>
    <w:p>
      <w:pPr>
        <w:pStyle w:val="Normal"/>
        <w:ind w:left="708" w:right="0" w:hanging="566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Zagospodarowanie terenu budowy wykonuje się co najmniej w zakresie:</w:t>
      </w:r>
    </w:p>
    <w:p>
      <w:pPr>
        <w:pStyle w:val="Normal"/>
        <w:numPr>
          <w:ilvl w:val="0"/>
          <w:numId w:val="9"/>
        </w:numPr>
        <w:jc w:val="both"/>
        <w:rPr/>
      </w:pPr>
      <w:r>
        <w:rPr>
          <w:sz w:val="24"/>
          <w:szCs w:val="24"/>
        </w:rPr>
        <w:t>zorganizowania niezbędnych wygrodzeń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zapewnienia oświetlenia naturalnego ew. sztucznego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urządzenia składowisk materiałów i wyrobów </w:t>
      </w:r>
    </w:p>
    <w:p>
      <w:pPr>
        <w:pStyle w:val="Normal"/>
        <w:numPr>
          <w:ilvl w:val="0"/>
          <w:numId w:val="9"/>
        </w:numPr>
        <w:rPr/>
      </w:pPr>
      <w:r>
        <w:rPr>
          <w:sz w:val="24"/>
          <w:szCs w:val="24"/>
        </w:rPr>
        <w:t>na terenie budowy należy zabezpieczyć apteczkę pierwszej pomocy i sprzęt gaśniczy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trakcie wykonywania robót budowlanych kierownik budowy winien zapewnić odpowiednie oznakowanie rejonu prowadzonych robót a także zapewnić niekolidujące z dojazdem do posesji prywatnych trasy dostaw materiałów budowlanych oraz sprzętu budowlanego.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robót jest zobowiązany chronić zdrowie i życie pracowników przez zapewnienie bezpiecznych i higienicznych warunków pracy a przed przystąpieniem do robót budowlanych - do sporządzenia planu bezpieczeństwa i ochrony zdrowia.</w:t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right="0" w:hanging="0"/>
        <w:jc w:val="right"/>
        <w:rPr/>
      </w:pPr>
      <w:r>
        <w:rPr/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6" w:name="__RefHeading___Toc417_2367410010"/>
      <w:bookmarkEnd w:id="16"/>
      <w:r>
        <w:rPr>
          <w:rStyle w:val="Mocnowyrniony"/>
          <w:rFonts w:cs="Times New Roman" w:ascii="Times New Roman" w:hAnsi="Times New Roman"/>
          <w:sz w:val="24"/>
          <w:szCs w:val="24"/>
        </w:rPr>
        <w:t>PROJEKT ARCHITEKTONICZNO-BUDOWLANY</w:t>
      </w:r>
    </w:p>
    <w:p>
      <w:pPr>
        <w:pStyle w:val="Normal"/>
        <w:jc w:val="center"/>
        <w:rPr/>
      </w:pPr>
      <w:r>
        <w:rPr/>
      </w:r>
    </w:p>
    <w:p>
      <w:pPr>
        <w:pStyle w:val="Nagwek2"/>
        <w:numPr>
          <w:ilvl w:val="1"/>
          <w:numId w:val="3"/>
        </w:numPr>
        <w:rPr>
          <w:i w:val="false"/>
          <w:i w:val="false"/>
          <w:iCs w:val="false"/>
          <w:sz w:val="24"/>
          <w:szCs w:val="24"/>
        </w:rPr>
      </w:pPr>
      <w:bookmarkStart w:id="17" w:name="__RefHeading___Toc419_2367410010"/>
      <w:bookmarkEnd w:id="17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PRZEZNACZENIE I PROGRAM UŻYTKOWY OBIEKTU </w:t>
      </w:r>
    </w:p>
    <w:p>
      <w:pPr>
        <w:pStyle w:val="Normal"/>
        <w:ind w:left="709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 xml:space="preserve">Przeznaczenie obiektu – bez zmian w stosunku do stanu istniejącego </w:t>
        <w:br/>
        <w:t>(ulica istniejąca,  dla ogólnodostępnego ruchu pojazdów i pieszych).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Charakterystyczne parametry techniczne:</w:t>
      </w:r>
    </w:p>
    <w:p>
      <w:pPr>
        <w:pStyle w:val="Normal"/>
        <w:jc w:val="both"/>
        <w:rPr/>
      </w:pPr>
      <w:r>
        <w:rPr>
          <w:sz w:val="22"/>
          <w:szCs w:val="22"/>
        </w:rPr>
        <w:t>Nawierzchnie chodników i zatok postojowych objęte robotami (przebudowa):  ok. 100</w:t>
      </w: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  <w:r>
        <w:rPr>
          <w:position w:val="0"/>
          <w:sz w:val="22"/>
          <w:sz w:val="22"/>
          <w:szCs w:val="22"/>
          <w:vertAlign w:val="baseline"/>
        </w:rPr>
        <w:t>.</w:t>
      </w:r>
    </w:p>
    <w:p>
      <w:pPr>
        <w:pStyle w:val="Normal"/>
        <w:jc w:val="both"/>
        <w:rPr/>
      </w:pPr>
      <w:r>
        <w:rPr/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eastAsia="Times New Roman" w:cs="Times New Roman"/>
          <w:b/>
          <w:b/>
          <w:bCs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bookmarkStart w:id="18" w:name="__RefHeading___Toc75861322"/>
      <w:bookmarkEnd w:id="18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FORMA ARCHITEKTONICZNA I FUNKCJA OBIEKTU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eastAsia="Times New Roman" w:cs="Times New Roman" w:ascii="Times New Roman" w:hAnsi="Times New Roman"/>
          <w:b w:val="false"/>
          <w:bCs w:val="false"/>
          <w:i w:val="false"/>
          <w:iCs w:val="false"/>
          <w:color w:val="auto"/>
          <w:kern w:val="0"/>
          <w:sz w:val="22"/>
          <w:szCs w:val="22"/>
          <w:lang w:val="pl-PL" w:eastAsia="zh-CN" w:bidi="ar-SA"/>
        </w:rPr>
        <w:t>Przebudowa poszczególnych elementów</w:t>
      </w:r>
      <w:r>
        <w:rPr>
          <w:rFonts w:eastAsia="Times New Roman" w:cs="Times New Roman" w:ascii="Times New Roman" w:hAnsi="Times New Roman"/>
          <w:kern w:val="0"/>
        </w:rPr>
        <w:t xml:space="preserve"> ulicy (chodnika i zatok postojowych) zostanie wykonana przy użyciu kostki betonowej – zgodnie z obiektami sąsiednimi o tym samym charakterze.</w:t>
      </w:r>
    </w:p>
    <w:p>
      <w:pPr>
        <w:pStyle w:val="Normal"/>
        <w:jc w:val="both"/>
        <w:rPr/>
      </w:pPr>
      <w:r>
        <w:rPr>
          <w:sz w:val="22"/>
          <w:szCs w:val="22"/>
        </w:rPr>
        <w:t>Podstawowa funkcja projektowanego obiektu:  bez zmian - droga zapewniająca komunikację pieszo-jezdną.</w:t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19" w:name="__RefHeading___Toc1786_1339427135"/>
      <w:bookmarkEnd w:id="1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UKŁAD KONSTRUKCYJNY PRZEBUDOWYWANYCH OBIEKTÓW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>Projektowana konstrukcja przebudowywanych nawierzchni chodnikowych: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Akapitzlist"/>
        <w:jc w:val="both"/>
        <w:rPr/>
      </w:pPr>
      <w:r>
        <w:rPr>
          <w:sz w:val="22"/>
          <w:szCs w:val="22"/>
        </w:rPr>
        <w:t>- kostka betonowa  / kostka betonowa ostrzegawcza, gr. 8 cm</w:t>
      </w:r>
    </w:p>
    <w:p>
      <w:pPr>
        <w:pStyle w:val="Akapitzlist"/>
        <w:jc w:val="left"/>
        <w:rPr/>
      </w:pPr>
      <w:r>
        <w:rPr>
          <w:sz w:val="22"/>
          <w:szCs w:val="22"/>
        </w:rPr>
        <w:t>- podsypka cementowo – piaskowa, gr. 5cm</w:t>
        <w:br/>
        <w:t>- podbudowa z kruszywa łamanego fr. 0-31,5mm C</w:t>
      </w:r>
      <w:r>
        <w:rPr>
          <w:sz w:val="22"/>
          <w:szCs w:val="22"/>
          <w:vertAlign w:val="subscript"/>
        </w:rPr>
        <w:t>90/3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0"/>
          <w:numId w:val="0"/>
        </w:numPr>
        <w:ind w:left="0" w:hanging="0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0" w:name="__RefHeading___Toc75861324"/>
      <w:bookmarkEnd w:id="2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BUDOWLANE I TECHNICZNO-INSTALACYJNE ORAZ ROZWIĄZANIA TECHNICZNO-BUDOWLANE W MIEJSCACH CHARAKTERYSTYCZNYCH.</w:t>
      </w:r>
    </w:p>
    <w:p>
      <w:pPr>
        <w:pStyle w:val="Akapitzlist"/>
        <w:ind w:left="400" w:right="0" w:hanging="0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Nawierzchnie chodnikowe będą ukształtowane w dopasowaniu wysokościowym do terenu istniejącego. 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Normal"/>
        <w:jc w:val="both"/>
        <w:rPr>
          <w:u w:val="single"/>
        </w:rPr>
      </w:pPr>
      <w:r>
        <w:rPr>
          <w:b/>
          <w:bCs/>
          <w:i w:val="false"/>
          <w:iCs w:val="false"/>
          <w:sz w:val="22"/>
          <w:szCs w:val="22"/>
          <w:u w:val="single"/>
        </w:rPr>
        <w:t>UWAGA: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 rejonie przejść dla pieszych pochylenie nawierzchni chodnika nie powinno przekraczać 5%. 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W rejonie przejścia dla pieszych należy zapewnić właściwe obniżenie krawężnika (jego wysokość nie powinna przekraczać 2cm powyżej nawierzchni jezdni). Zalecane jest zapewnienie wyniesienia na poziomie 1cm.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Na szerokości przejścia dla pieszych należy wbudować obniżone krawężniki najazdowe (15x22cm).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iCs/>
          <w:sz w:val="22"/>
          <w:szCs w:val="22"/>
        </w:rPr>
        <w:t>Nawierzchnie ostrzegawcze należy wykonać z kostek betonowych sygnalizacyjnych typu ,,STOP’’ (kostka betonowa z wypustkami, w kolorze kontrastowym – żółtym). Szerokość nawierzchni ostrzegawczej – wg szczegółów konstrukcyjnych.</w:t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1" w:name="__RefHeading___Toc75861325"/>
      <w:bookmarkEnd w:id="2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ZASADNICZYCH ELEMENTÓW WYPOSAŻENIA BUDOWLANO-INSTALACYJNEGO.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Planuje się wykonanie doświetlenia realizowanych przejść dla pieszych.  Zostanie ono przperowadzone poprzez instalację dedykowanych do tego celu lamp typu LED, instalowanych obustronnie w strefach najazdowych.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Zastosowane doświetlenie będzie charakteryzować się natężeniem światła i temperaturą barwową odróżniającą się od istniejącego oświetlenia ulicznego (temperatura barwowa oświetlenia przejścia na poziomie ok. 5700K).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>Zaleca się instalację tzw. inteligentnego systemu aktywnego składającego się z detektorów ruchu, które po zmierzchu aktywują się doświetlając w pełni (do 100% mocy) przejście.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Pozostała istniejąca infrastruktura techniczna podziemna – bez zmian.</w:t>
      </w:r>
    </w:p>
    <w:p>
      <w:pPr>
        <w:pStyle w:val="Normal"/>
        <w:jc w:val="both"/>
        <w:rPr/>
      </w:pPr>
      <w:r>
        <w:rPr>
          <w:sz w:val="22"/>
          <w:szCs w:val="22"/>
        </w:rPr>
        <w:t>Odwodnienie nawierzchni –  be zmian, wg stanu istniejącego (kanalizacja deszczowa).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Wszystkie urządzenia zlokalizowane w nawierzchni chodnika lub jezdni tj.; studnie, zasuwy, wpusty każdorazowo podlegają regulacji wysokościowej do rzędnych docelowej warstwy ścieralnej (tj. projektowanego chodnika lub jezdni), jeśli będzie to konieczne dla zachowania wymaganej równości nawierzchni.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Instalacja niezbędnych znaków pionowych i poziomych zostanie wykonana na podstawie zatwierdzonego projektu stałej organizacji ruchu  stanowiącego odrębne opracowanie.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2" w:name="__RefHeading___Toc75861326"/>
      <w:bookmarkEnd w:id="2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I SPOSÓB FUNKCJONOWANIA ZASADNICZYCH URZĄDZEŃ INSTALACJI TECHNICZNYCH.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>
          <w:rFonts w:ascii="Times New Roman" w:hAnsi="Times New Roman"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Planowane doświetlenie przejść dla pieszych zostanie zasilone z sieci istniejącego oświetlenia drogowego.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 uwagi na charakter inwestycji, poza w/w doświetleniem przejść nie przewiduje się budowy żadnych dodatkowych instalacji technicznych.</w:t>
      </w:r>
    </w:p>
    <w:p>
      <w:pPr>
        <w:pStyle w:val="Normal"/>
        <w:jc w:val="both"/>
        <w:rPr>
          <w:sz w:val="22"/>
          <w:szCs w:val="22"/>
          <w:highlight w:val="yellow"/>
        </w:rPr>
      </w:pPr>
      <w:r>
        <w:rPr>
          <w:sz w:val="22"/>
          <w:szCs w:val="22"/>
          <w:highlight w:val="yellow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3" w:name="__RefHeading___Toc75861327"/>
      <w:bookmarkEnd w:id="2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TECHNICZNE OBIEKTU CHARAKTERYZUJĄCE JEGO WPŁYW NA ŚRODOWISKO, ZDROWIE LUDZI I OBIEKTY SĄSIEDNIE.</w:t>
      </w:r>
    </w:p>
    <w:p>
      <w:pPr>
        <w:pStyle w:val="Normal"/>
        <w:ind w:left="3540" w:right="0" w:hanging="354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Planowana inwestycja ma charakter nieuciążliwy i nie jest zaliczana do przedsięwzięć mogących znacząco oddziaływać na środowisko naturalne w rozumieniu Rozporządzenia Rady Ministrów z dnia 9.11.2010 w sprawie przedsięwzięć mogących znacząco oddziaływać na środowisko. 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Dane techniczne charakteryzujące wpływ na środowisko, zdrowie ludzi oraz inne obiekty budowlane: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Odwodnienie modernizowanych nawierzchni będzie funkcjonować wg obecnego schematu tj. powierzchniowo. Bez ujemnego wpływu na środowisko gruntowo-wodne.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 xml:space="preserve">Eksploatacja obiektu nie będzie związana z wytwarzaniem odpadów czy emisją zanieczyszczeń gazowych. 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Projektowana inwestycja nie obejmuje obiektów, które mogłyby stanowić znaczące źródło hałasu, zatem nie spowoduje zmian w klimacie akustycznym otoczenia.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Dla projektowanej funkcji obiektu nie występuje związana z jego eksploatacją emisja wibracji czy promieniowania (w tym jonizującego)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Charakter obiektu budowlanego, jego lokalizacja oraz przeznaczenie nie wpływają na środowisko przyrodnicze (istniejący drzewostan, glebę, wody powierzchniowe/podziemne) czy zdrowie ludzi.</w:t>
      </w:r>
    </w:p>
    <w:p>
      <w:pPr>
        <w:pStyle w:val="Normal"/>
        <w:numPr>
          <w:ilvl w:val="0"/>
          <w:numId w:val="0"/>
        </w:numPr>
        <w:ind w:left="1440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4" w:name="__RefHeading___Toc75861328"/>
      <w:bookmarkEnd w:id="2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WARUNKI OCHRONY PRZECIWPOŻAROWEJ.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Warunki ochrony przeciwpożarowej obiektów sąsiadujących z modernizowaną ulicą pozostają bez zmian w stosunku do stanu istniejącego. </w:t>
      </w:r>
    </w:p>
    <w:p>
      <w:pPr>
        <w:pStyle w:val="Normal"/>
        <w:ind w:left="426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keepNext w:val="true"/>
        <w:widowControl/>
        <w:numPr>
          <w:ilvl w:val="1"/>
          <w:numId w:val="3"/>
        </w:numPr>
        <w:suppressAutoHyphens w:val="true"/>
        <w:bidi w:val="0"/>
        <w:spacing w:before="240" w:after="60"/>
        <w:jc w:val="left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5" w:name="__RefHeading___Toc421_2367410010"/>
      <w:bookmarkEnd w:id="2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OGÓLNE.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  <w:bookmarkStart w:id="26" w:name="_Hlk41731282"/>
      <w:bookmarkStart w:id="27" w:name="_Hlk41731282"/>
      <w:bookmarkEnd w:id="27"/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 w:val="false"/>
          <w:iCs w:val="false"/>
          <w:sz w:val="22"/>
          <w:szCs w:val="22"/>
        </w:rPr>
        <w:t xml:space="preserve">Każdorazowo w przypadku konieczności prowadzenia jakichkolwiek robót ziemnych (np. wykopy pod  urządzenia infrastruktury podziemnej) </w:t>
      </w:r>
      <w:r>
        <w:rPr>
          <w:b w:val="false"/>
          <w:bCs w:val="false"/>
          <w:sz w:val="22"/>
          <w:szCs w:val="22"/>
        </w:rPr>
        <w:t xml:space="preserve">wymagane są uprzednie przekopy kontrolne, sprawdzające głębokość ułożenia poszczególnych sieci - należy potwierdzać lokalizację infrastruktury podziemnej uwidocznionej na mapie. Każdorazowo roboty budowlane w miejscu przebiegu istniejącego uzbrojenia należy prowadzić ręcznie bez użycia sprzętu mechanicznego.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Cs/>
          <w:sz w:val="22"/>
          <w:szCs w:val="22"/>
        </w:rPr>
        <w:t>Wszystkie roboty budowlane w obrębie infrastruktury podziemnej nale</w:t>
      </w:r>
      <w:r>
        <w:rPr>
          <w:iCs/>
          <w:sz w:val="22"/>
          <w:szCs w:val="22"/>
        </w:rPr>
        <w:t xml:space="preserve">ży prowadzić z zachowaniem należytej ostrożności - dotyczy w szczególności elektroenergetycznych linii kablowych oraz sieci gazowych.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Wszystkie roboty ziemne w rejonie istniejącego uzbrojenia prowadzić po uprzednim powiadomieniu i pod nadzorem właściciela danej sieci. </w:t>
      </w:r>
    </w:p>
    <w:p>
      <w:pPr>
        <w:pStyle w:val="Normal"/>
        <w:spacing w:lineRule="auto" w:line="276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276"/>
        <w:jc w:val="both"/>
        <w:rPr/>
      </w:pPr>
      <w:r>
        <w:rPr>
          <w:sz w:val="22"/>
          <w:szCs w:val="22"/>
        </w:rPr>
        <w:t xml:space="preserve">W przypadku stwierdzenia sieci na głębokościach nienormatywnych  należy wstrzymać roboty budowlane związane z budową konstrukcji nawierzchni i bezzwłocznie powiadomić o tym fakcie właściciela sieci </w:t>
        <w:br/>
        <w:t xml:space="preserve">(w porozumieniu z gestorem i projektantem należy wówczas ustalić sposób należytego zabezpieczenia bądź likwidacji kolizji). </w:t>
      </w:r>
      <w:r>
        <w:rPr>
          <w:iCs/>
          <w:sz w:val="22"/>
          <w:szCs w:val="22"/>
        </w:rPr>
        <w:t>W przypadku napotkania jakichkolwiek dodatkowych, niezinwentaryzowanych przewodów podziemnych należy ten fakt zgłosić do odpowiedniego gestora / użytkownika sieci.</w:t>
      </w:r>
    </w:p>
    <w:p>
      <w:pPr>
        <w:pStyle w:val="Normal"/>
        <w:spacing w:lineRule="auto" w:line="276"/>
        <w:jc w:val="both"/>
        <w:rPr/>
      </w:pPr>
      <w:r>
        <w:rPr/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Poszczególne roboty należy realizować przy zachowaniu zasad określonych we właściwych Specyfikacjach Wykonania i Odbioru Robót Budowlanych. Wszystkie prace należy realizować zgodnie ze sztuką budowlaną, pod nadzorem osoby posiadającej stosowne uprawnienia do kierowania robotami budowlanymi w branży inżynieryjnej drogowej.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>W czasie budowy przestrzegać przepisów BHP w zakresie transportu, składowania materiałów, zabezpieczenia wykopów, oznakowania miejsc niebezpiecznych.</w:t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bookmarkStart w:id="28" w:name="_Hlk417312821"/>
      <w:r>
        <w:rPr>
          <w:iCs/>
          <w:sz w:val="22"/>
          <w:szCs w:val="22"/>
        </w:rPr>
        <w:t>Ewentualne wykopy miejscowe należy odpowiednio oznakować i zabezpieczyć przed osobami postronnymi.</w:t>
      </w:r>
      <w:bookmarkEnd w:id="28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bookmarkStart w:id="29" w:name="_Hlk417312822"/>
      <w:bookmarkStart w:id="30" w:name="_Hlk417312822"/>
      <w:bookmarkEnd w:id="30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31" w:name="__RefHeading___Toc75861330"/>
      <w:bookmarkEnd w:id="31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ind w:left="3577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32" w:name="__RefHeading___Toc3224_1339427135"/>
      <w:bookmarkEnd w:id="32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Szczegóły konstrukcyjne  (rys. nr 3).</w:t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/>
      </w:pPr>
      <w:r>
        <w:rPr/>
      </w:r>
    </w:p>
    <w:sectPr>
      <w:headerReference w:type="default" r:id="rId5"/>
      <w:footerReference w:type="default" r:id="rId6"/>
      <w:type w:val="nextPage"/>
      <w:pgSz w:w="11906" w:h="16838"/>
      <w:pgMar w:left="1417" w:right="1006" w:header="426" w:top="1417" w:footer="708" w:bottom="1560" w:gutter="0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Calibri Light">
    <w:charset w:val="ee"/>
    <w:family w:val="roman"/>
    <w:pitch w:val="variable"/>
  </w:font>
  <w:font w:name="Calibri">
    <w:charset w:val="ee"/>
    <w:family w:val="roman"/>
    <w:pitch w:val="variable"/>
  </w:font>
  <w:font w:name="Liberation Serif">
    <w:altName w:val="Times New Roman"/>
    <w:charset w:val="ee"/>
    <w:family w:val="swiss"/>
    <w:pitch w:val="variable"/>
  </w:font>
  <w:font w:name="Wingdings">
    <w:charset w:val="ee"/>
    <w:family w:val="roman"/>
    <w:pitch w:val="variable"/>
  </w:font>
  <w:font w:name="Courier New">
    <w:charset w:val="ee"/>
    <w:family w:val="roman"/>
    <w:pitch w:val="variable"/>
  </w:font>
  <w:font w:name="Symbol">
    <w:charset w:val="ee"/>
    <w:family w:val="roman"/>
    <w:pitch w:val="variable"/>
  </w:font>
  <w:font w:name="Arial">
    <w:charset w:val="ee"/>
    <w:family w:val="roman"/>
    <w:pitch w:val="variable"/>
  </w:font>
  <w:font w:name="Tahoma">
    <w:charset w:val="ee"/>
    <w:family w:val="roman"/>
    <w:pitch w:val="variable"/>
  </w:font>
  <w:font w:name="Liberation Mono">
    <w:altName w:val="Courier New"/>
    <w:charset w:val="ee"/>
    <w:family w:val="roman"/>
    <w:pitch w:val="variable"/>
  </w:font>
  <w:font w:name="Liberation Sans">
    <w:altName w:val="Arial"/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opka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20</w:t>
    </w:r>
    <w:r>
      <w:rPr/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Gwka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Nagwek1"/>
      <w:numFmt w:val="decimal"/>
      <w:suff w:val="nothing"/>
      <w:lvlText w:val="%1."/>
      <w:lvlJc w:val="left"/>
      <w:pPr>
        <w:ind w:left="0" w:hanging="0"/>
      </w:pPr>
    </w:lvl>
    <w:lvl w:ilvl="1">
      <w:start w:val="1"/>
      <w:pStyle w:val="Nagwek2"/>
      <w:numFmt w:val="decimal"/>
      <w:lvlText w:val="%2."/>
      <w:lvlJc w:val="left"/>
      <w:pPr>
        <w:ind w:left="0" w:hanging="0"/>
      </w:pPr>
    </w:lvl>
    <w:lvl w:ilvl="2">
      <w:start w:val="1"/>
      <w:pStyle w:val="Nagwek3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pStyle w:val="Nagwek5"/>
      <w:numFmt w:val="none"/>
      <w:suff w:val="nothing"/>
      <w:lvlText w:val=""/>
      <w:lvlJc w:val="left"/>
      <w:pPr>
        <w:ind w:left="0" w:hanging="0"/>
      </w:pPr>
    </w:lvl>
    <w:lvl w:ilvl="5">
      <w:start w:val="1"/>
      <w:pStyle w:val="Nagwek6"/>
      <w:numFmt w:val="none"/>
      <w:suff w:val="nothing"/>
      <w:lvlText w:val=""/>
      <w:lvlJc w:val="left"/>
      <w:pPr>
        <w:ind w:left="0" w:hanging="0"/>
      </w:pPr>
    </w:lvl>
    <w:lvl w:ilvl="6">
      <w:start w:val="1"/>
      <w:pStyle w:val="Nagwek7"/>
      <w:numFmt w:val="none"/>
      <w:suff w:val="nothing"/>
      <w:lvlText w:val=""/>
      <w:lvlJc w:val="left"/>
      <w:pPr>
        <w:ind w:left="0" w:hanging="0"/>
      </w:pPr>
    </w:lvl>
    <w:lvl w:ilvl="7">
      <w:start w:val="1"/>
      <w:pStyle w:val="Nagwek8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3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4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5"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sz w:val="22"/>
        <w:b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lvl w:ilvl="0">
      <w:start w:val="1"/>
      <w:numFmt w:val="bullet"/>
      <w:lvlText w:val=""/>
      <w:lvlJc w:val="left"/>
      <w:pPr>
        <w:ind w:left="862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w="http://schemas.openxmlformats.org/wordprocessingml/2006/main">
  <w:zoom w:percent="80"/>
  <w:defaultTabStop w:val="709"/>
  <w:autoHyphenation w:val="fals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pl-PL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suppressAutoHyphens w:val="true"/>
      <w:bidi w:val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pl-PL" w:eastAsia="zh-CN" w:bidi="ar-SA"/>
    </w:rPr>
  </w:style>
  <w:style w:type="paragraph" w:styleId="Nagwek1">
    <w:name w:val="Heading 1"/>
    <w:basedOn w:val="Normal"/>
    <w:next w:val="Normal"/>
    <w:qFormat/>
    <w:pPr>
      <w:keepNext w:val="true"/>
      <w:numPr>
        <w:ilvl w:val="0"/>
        <w:numId w:val="1"/>
      </w:numPr>
      <w:spacing w:before="240" w:after="60"/>
      <w:outlineLvl w:val="0"/>
    </w:pPr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paragraph" w:styleId="Nagwek2">
    <w:name w:val="Heading 2"/>
    <w:basedOn w:val="Normal"/>
    <w:next w:val="Normal"/>
    <w:qFormat/>
    <w:pPr>
      <w:keepNext w:val="true"/>
      <w:numPr>
        <w:ilvl w:val="1"/>
        <w:numId w:val="1"/>
      </w:numPr>
      <w:spacing w:before="240" w:after="60"/>
      <w:outlineLvl w:val="1"/>
    </w:pPr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paragraph" w:styleId="Nagwek3">
    <w:name w:val="Heading 3"/>
    <w:basedOn w:val="Nagwek"/>
    <w:next w:val="Tretekstu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Nagwek5">
    <w:name w:val="Heading 5"/>
    <w:basedOn w:val="Normal"/>
    <w:next w:val="Normal"/>
    <w:qFormat/>
    <w:pPr>
      <w:numPr>
        <w:ilvl w:val="4"/>
        <w:numId w:val="1"/>
      </w:numPr>
      <w:spacing w:before="240" w:after="60"/>
      <w:ind w:left="417" w:right="0" w:hanging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rFonts w:ascii="Calibri" w:hAnsi="Calibri" w:eastAsia="Times New Roman" w:cs="Times New Roman"/>
      <w:b/>
      <w:bCs/>
      <w:sz w:val="22"/>
      <w:szCs w:val="22"/>
    </w:rPr>
  </w:style>
  <w:style w:type="paragraph" w:styleId="Nagwek7">
    <w:name w:val="Heading 7"/>
    <w:basedOn w:val="Nagwek"/>
    <w:next w:val="Tretekstu"/>
    <w:qFormat/>
    <w:pPr>
      <w:widowControl w:val="false"/>
      <w:numPr>
        <w:ilvl w:val="6"/>
        <w:numId w:val="1"/>
      </w:numPr>
      <w:bidi w:val="0"/>
      <w:spacing w:before="60" w:after="60"/>
      <w:jc w:val="left"/>
      <w:outlineLvl w:val="6"/>
    </w:pPr>
    <w:rPr>
      <w:rFonts w:ascii="Liberation Serif" w:hAnsi="Liberation Serif" w:eastAsia="NSimSun" w:cs="Arial"/>
      <w:b/>
      <w:bCs/>
      <w:color w:val="auto"/>
      <w:kern w:val="0"/>
      <w:sz w:val="22"/>
      <w:szCs w:val="22"/>
      <w:lang w:val="pl-PL" w:eastAsia="zh-CN" w:bidi="hi-IN"/>
    </w:rPr>
  </w:style>
  <w:style w:type="paragraph" w:styleId="Nagwek8">
    <w:name w:val="Heading 8"/>
    <w:basedOn w:val="Nagwek"/>
    <w:next w:val="Tretekstu"/>
    <w:qFormat/>
    <w:pPr>
      <w:widowControl w:val="false"/>
      <w:numPr>
        <w:ilvl w:val="7"/>
        <w:numId w:val="1"/>
      </w:numPr>
      <w:bidi w:val="0"/>
      <w:spacing w:before="60" w:after="60"/>
      <w:jc w:val="left"/>
      <w:outlineLvl w:val="7"/>
    </w:pPr>
    <w:rPr>
      <w:rFonts w:ascii="Liberation Serif" w:hAnsi="Liberation Serif" w:eastAsia="NSimSun" w:cs="Arial"/>
      <w:b/>
      <w:bCs/>
      <w:i/>
      <w:iCs/>
      <w:color w:val="auto"/>
      <w:kern w:val="0"/>
      <w:sz w:val="22"/>
      <w:szCs w:val="22"/>
      <w:lang w:val="pl-PL" w:eastAsia="zh-CN" w:bidi="hi-IN"/>
    </w:rPr>
  </w:style>
  <w:style w:type="character" w:styleId="WW8Num1z0">
    <w:name w:val="WW8Num1z0"/>
    <w:qFormat/>
    <w:rPr/>
  </w:style>
  <w:style w:type="character" w:styleId="WW8Num1z1">
    <w:name w:val="WW8Num1z1"/>
    <w:qFormat/>
    <w:rPr/>
  </w:style>
  <w:style w:type="character" w:styleId="WW8Num1z2">
    <w:name w:val="WW8Num1z2"/>
    <w:qFormat/>
    <w:rPr/>
  </w:style>
  <w:style w:type="character" w:styleId="WW8Num1z3">
    <w:name w:val="WW8Num1z3"/>
    <w:qFormat/>
    <w:rPr/>
  </w:style>
  <w:style w:type="character" w:styleId="WW8Num1z4">
    <w:name w:val="WW8Num1z4"/>
    <w:qFormat/>
    <w:rPr/>
  </w:style>
  <w:style w:type="character" w:styleId="WW8Num1z5">
    <w:name w:val="WW8Num1z5"/>
    <w:qFormat/>
    <w:rPr/>
  </w:style>
  <w:style w:type="character" w:styleId="WW8Num1z6">
    <w:name w:val="WW8Num1z6"/>
    <w:qFormat/>
    <w:rPr/>
  </w:style>
  <w:style w:type="character" w:styleId="WW8Num1z7">
    <w:name w:val="WW8Num1z7"/>
    <w:qFormat/>
    <w:rPr/>
  </w:style>
  <w:style w:type="character" w:styleId="WW8Num1z8">
    <w:name w:val="WW8Num1z8"/>
    <w:qFormat/>
    <w:rPr/>
  </w:style>
  <w:style w:type="character" w:styleId="WW8Num2z0">
    <w:name w:val="WW8Num2z0"/>
    <w:qFormat/>
    <w:rPr>
      <w:sz w:val="24"/>
      <w:szCs w:val="24"/>
    </w:rPr>
  </w:style>
  <w:style w:type="character" w:styleId="WW8Num3z0">
    <w:name w:val="WW8Num3z0"/>
    <w:qFormat/>
    <w:rPr>
      <w:rFonts w:ascii="Wingdings" w:hAnsi="Wingdings" w:cs="Wingdings"/>
    </w:rPr>
  </w:style>
  <w:style w:type="character" w:styleId="WW8Num3z1">
    <w:name w:val="WW8Num3z1"/>
    <w:qFormat/>
    <w:rPr>
      <w:rFonts w:ascii="Courier New" w:hAnsi="Courier New" w:cs="Courier New"/>
    </w:rPr>
  </w:style>
  <w:style w:type="character" w:styleId="WW8Num3z3">
    <w:name w:val="WW8Num3z3"/>
    <w:qFormat/>
    <w:rPr>
      <w:rFonts w:ascii="Symbol" w:hAnsi="Symbol" w:cs="Symbol"/>
    </w:rPr>
  </w:style>
  <w:style w:type="character" w:styleId="WW8Num4z0">
    <w:name w:val="WW8Num4z0"/>
    <w:qFormat/>
    <w:rPr/>
  </w:style>
  <w:style w:type="character" w:styleId="WW8Num5z0">
    <w:name w:val="WW8Num5z0"/>
    <w:qFormat/>
    <w:rPr/>
  </w:style>
  <w:style w:type="character" w:styleId="WW8Num6z0">
    <w:name w:val="WW8Num6z0"/>
    <w:qFormat/>
    <w:rPr>
      <w:rFonts w:ascii="Arial" w:hAnsi="Arial" w:cs="Arial"/>
      <w:b/>
      <w:i w:val="false"/>
      <w:sz w:val="24"/>
      <w:u w:val="none"/>
    </w:rPr>
  </w:style>
  <w:style w:type="character" w:styleId="WW8Num7z0">
    <w:name w:val="WW8Num7z0"/>
    <w:qFormat/>
    <w:rPr>
      <w:rFonts w:ascii="Symbol" w:hAnsi="Symbol" w:cs="Symbol"/>
      <w:sz w:val="24"/>
      <w:szCs w:val="24"/>
    </w:rPr>
  </w:style>
  <w:style w:type="character" w:styleId="WW8Num8z0">
    <w:name w:val="WW8Num8z0"/>
    <w:qFormat/>
    <w:rPr>
      <w:rFonts w:ascii="Symbol" w:hAnsi="Symbol" w:cs="Symbol"/>
      <w:sz w:val="24"/>
      <w:szCs w:val="24"/>
    </w:rPr>
  </w:style>
  <w:style w:type="character" w:styleId="WW8Num9z0">
    <w:name w:val="WW8Num9z0"/>
    <w:qFormat/>
    <w:rPr/>
  </w:style>
  <w:style w:type="character" w:styleId="WW8Num10z0">
    <w:name w:val="WW8Num10z0"/>
    <w:qFormat/>
    <w:rPr>
      <w:rFonts w:ascii="Times New Roman" w:hAnsi="Times New Roman" w:cs="Times New Roman"/>
      <w:b/>
      <w:sz w:val="28"/>
      <w:szCs w:val="24"/>
    </w:rPr>
  </w:style>
  <w:style w:type="character" w:styleId="WW8Num10z1">
    <w:name w:val="WW8Num10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0z2">
    <w:name w:val="WW8Num10z2"/>
    <w:qFormat/>
    <w:rPr/>
  </w:style>
  <w:style w:type="character" w:styleId="WW8Num10z3">
    <w:name w:val="WW8Num10z3"/>
    <w:qFormat/>
    <w:rPr/>
  </w:style>
  <w:style w:type="character" w:styleId="WW8Num10z4">
    <w:name w:val="WW8Num10z4"/>
    <w:qFormat/>
    <w:rPr/>
  </w:style>
  <w:style w:type="character" w:styleId="WW8Num10z5">
    <w:name w:val="WW8Num10z5"/>
    <w:qFormat/>
    <w:rPr/>
  </w:style>
  <w:style w:type="character" w:styleId="WW8Num10z6">
    <w:name w:val="WW8Num10z6"/>
    <w:qFormat/>
    <w:rPr/>
  </w:style>
  <w:style w:type="character" w:styleId="WW8Num10z7">
    <w:name w:val="WW8Num10z7"/>
    <w:qFormat/>
    <w:rPr/>
  </w:style>
  <w:style w:type="character" w:styleId="WW8Num10z8">
    <w:name w:val="WW8Num10z8"/>
    <w:qFormat/>
    <w:rPr/>
  </w:style>
  <w:style w:type="character" w:styleId="WW8Num11z0">
    <w:name w:val="WW8Num11z0"/>
    <w:qFormat/>
    <w:rPr>
      <w:rFonts w:ascii="Symbol" w:hAnsi="Symbol" w:cs="Symbol"/>
      <w:sz w:val="24"/>
      <w:szCs w:val="24"/>
    </w:rPr>
  </w:style>
  <w:style w:type="character" w:styleId="WW8Num12z0">
    <w:name w:val="WW8Num12z0"/>
    <w:qFormat/>
    <w:rPr>
      <w:rFonts w:ascii="Symbol" w:hAnsi="Symbol" w:cs="Symbol"/>
      <w:sz w:val="24"/>
      <w:szCs w:val="24"/>
    </w:rPr>
  </w:style>
  <w:style w:type="character" w:styleId="WW8Num13z0">
    <w:name w:val="WW8Num13z0"/>
    <w:qFormat/>
    <w:rPr>
      <w:rFonts w:ascii="Symbol" w:hAnsi="Symbol" w:cs="Symbol"/>
      <w:sz w:val="24"/>
      <w:szCs w:val="24"/>
    </w:rPr>
  </w:style>
  <w:style w:type="character" w:styleId="WW8Num14z0">
    <w:name w:val="WW8Num14z0"/>
    <w:qFormat/>
    <w:rPr>
      <w:rFonts w:ascii="Symbol" w:hAnsi="Symbol" w:cs="Symbol"/>
      <w:sz w:val="24"/>
      <w:szCs w:val="24"/>
    </w:rPr>
  </w:style>
  <w:style w:type="character" w:styleId="WW8Num11z1">
    <w:name w:val="WW8Num11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1z2">
    <w:name w:val="WW8Num11z2"/>
    <w:qFormat/>
    <w:rPr/>
  </w:style>
  <w:style w:type="character" w:styleId="WW8Num11z3">
    <w:name w:val="WW8Num11z3"/>
    <w:qFormat/>
    <w:rPr/>
  </w:style>
  <w:style w:type="character" w:styleId="WW8Num11z4">
    <w:name w:val="WW8Num11z4"/>
    <w:qFormat/>
    <w:rPr/>
  </w:style>
  <w:style w:type="character" w:styleId="WW8Num11z5">
    <w:name w:val="WW8Num11z5"/>
    <w:qFormat/>
    <w:rPr/>
  </w:style>
  <w:style w:type="character" w:styleId="WW8Num11z6">
    <w:name w:val="WW8Num11z6"/>
    <w:qFormat/>
    <w:rPr/>
  </w:style>
  <w:style w:type="character" w:styleId="WW8Num11z7">
    <w:name w:val="WW8Num11z7"/>
    <w:qFormat/>
    <w:rPr/>
  </w:style>
  <w:style w:type="character" w:styleId="WW8Num11z8">
    <w:name w:val="WW8Num11z8"/>
    <w:qFormat/>
    <w:rPr/>
  </w:style>
  <w:style w:type="character" w:styleId="WW8Num15z0">
    <w:name w:val="WW8Num15z0"/>
    <w:qFormat/>
    <w:rPr>
      <w:rFonts w:ascii="Symbol" w:hAnsi="Symbol" w:cs="Symbol"/>
      <w:sz w:val="24"/>
      <w:szCs w:val="24"/>
    </w:rPr>
  </w:style>
  <w:style w:type="character" w:styleId="WW8Num16z0">
    <w:name w:val="WW8Num16z0"/>
    <w:qFormat/>
    <w:rPr>
      <w:rFonts w:ascii="Symbol" w:hAnsi="Symbol" w:cs="Symbol"/>
      <w:sz w:val="24"/>
      <w:szCs w:val="24"/>
    </w:rPr>
  </w:style>
  <w:style w:type="character" w:styleId="Domylnaczcionkaakapitu">
    <w:name w:val="Domyślna czcionka akapitu"/>
    <w:qFormat/>
    <w:rPr/>
  </w:style>
  <w:style w:type="character" w:styleId="WW8Num17z0">
    <w:name w:val="WW8Num17z0"/>
    <w:qFormat/>
    <w:rPr>
      <w:rFonts w:ascii="Symbol" w:hAnsi="Symbol" w:cs="Symbol"/>
    </w:rPr>
  </w:style>
  <w:style w:type="character" w:styleId="Domylnaczcionkaakapitu5">
    <w:name w:val="Domyślna czcionka akapitu5"/>
    <w:qFormat/>
    <w:rPr/>
  </w:style>
  <w:style w:type="character" w:styleId="WW8Num14z1">
    <w:name w:val="WW8Num14z1"/>
    <w:qFormat/>
    <w:rPr>
      <w:rFonts w:ascii="Courier New" w:hAnsi="Courier New" w:cs="Courier New"/>
    </w:rPr>
  </w:style>
  <w:style w:type="character" w:styleId="WW8Num14z2">
    <w:name w:val="WW8Num14z2"/>
    <w:qFormat/>
    <w:rPr>
      <w:rFonts w:ascii="Wingdings" w:hAnsi="Wingdings" w:cs="Wingdings"/>
    </w:rPr>
  </w:style>
  <w:style w:type="character" w:styleId="WW8Num15z1">
    <w:name w:val="WW8Num15z1"/>
    <w:qFormat/>
    <w:rPr>
      <w:rFonts w:ascii="Courier New" w:hAnsi="Courier New" w:cs="Courier New"/>
    </w:rPr>
  </w:style>
  <w:style w:type="character" w:styleId="WW8Num15z2">
    <w:name w:val="WW8Num15z2"/>
    <w:qFormat/>
    <w:rPr>
      <w:rFonts w:ascii="Wingdings" w:hAnsi="Wingdings" w:cs="Wingdings"/>
    </w:rPr>
  </w:style>
  <w:style w:type="character" w:styleId="WW8Num16z1">
    <w:name w:val="WW8Num16z1"/>
    <w:qFormat/>
    <w:rPr>
      <w:rFonts w:ascii="Courier New" w:hAnsi="Courier New" w:cs="Courier New"/>
    </w:rPr>
  </w:style>
  <w:style w:type="character" w:styleId="WW8Num16z2">
    <w:name w:val="WW8Num16z2"/>
    <w:qFormat/>
    <w:rPr>
      <w:rFonts w:ascii="Wingdings" w:hAnsi="Wingdings" w:cs="Wingdings"/>
    </w:rPr>
  </w:style>
  <w:style w:type="character" w:styleId="WW8Num17z1">
    <w:name w:val="WW8Num17z1"/>
    <w:qFormat/>
    <w:rPr>
      <w:rFonts w:ascii="Courier New" w:hAnsi="Courier New" w:cs="Courier New"/>
    </w:rPr>
  </w:style>
  <w:style w:type="character" w:styleId="WW8Num17z2">
    <w:name w:val="WW8Num17z2"/>
    <w:qFormat/>
    <w:rPr>
      <w:rFonts w:ascii="Wingdings" w:hAnsi="Wingdings" w:cs="Wingdings"/>
    </w:rPr>
  </w:style>
  <w:style w:type="character" w:styleId="WW8Num18z0">
    <w:name w:val="WW8Num18z0"/>
    <w:qFormat/>
    <w:rPr>
      <w:rFonts w:ascii="Symbol" w:hAnsi="Symbol" w:cs="Symbol"/>
    </w:rPr>
  </w:style>
  <w:style w:type="character" w:styleId="WW8Num18z1">
    <w:name w:val="WW8Num18z1"/>
    <w:qFormat/>
    <w:rPr>
      <w:rFonts w:ascii="Courier New" w:hAnsi="Courier New" w:cs="Courier New"/>
    </w:rPr>
  </w:style>
  <w:style w:type="character" w:styleId="WW8Num18z2">
    <w:name w:val="WW8Num18z2"/>
    <w:qFormat/>
    <w:rPr>
      <w:rFonts w:ascii="Wingdings" w:hAnsi="Wingdings" w:cs="Wingdings"/>
    </w:rPr>
  </w:style>
  <w:style w:type="character" w:styleId="WW8Num19z0">
    <w:name w:val="WW8Num19z0"/>
    <w:qFormat/>
    <w:rPr>
      <w:rFonts w:ascii="Symbol" w:hAnsi="Symbol" w:cs="Symbol"/>
    </w:rPr>
  </w:style>
  <w:style w:type="character" w:styleId="WW8Num19z1">
    <w:name w:val="WW8Num19z1"/>
    <w:qFormat/>
    <w:rPr>
      <w:rFonts w:ascii="Courier New" w:hAnsi="Courier New" w:cs="Courier New"/>
    </w:rPr>
  </w:style>
  <w:style w:type="character" w:styleId="WW8Num19z2">
    <w:name w:val="WW8Num19z2"/>
    <w:qFormat/>
    <w:rPr>
      <w:rFonts w:ascii="Wingdings" w:hAnsi="Wingdings" w:cs="Wingdings"/>
    </w:rPr>
  </w:style>
  <w:style w:type="character" w:styleId="Domylnaczcionkaakapitu4">
    <w:name w:val="Domyślna czcionka akapitu4"/>
    <w:qFormat/>
    <w:rPr/>
  </w:style>
  <w:style w:type="character" w:styleId="WW8Num14z3">
    <w:name w:val="WW8Num14z3"/>
    <w:qFormat/>
    <w:rPr>
      <w:rFonts w:ascii="Symbol" w:hAnsi="Symbol" w:cs="Symbol"/>
    </w:rPr>
  </w:style>
  <w:style w:type="character" w:styleId="WW8Num4z1">
    <w:name w:val="WW8Num4z1"/>
    <w:qFormat/>
    <w:rPr>
      <w:rFonts w:ascii="Courier New" w:hAnsi="Courier New" w:cs="Courier New"/>
    </w:rPr>
  </w:style>
  <w:style w:type="character" w:styleId="WW8Num4z3">
    <w:name w:val="WW8Num4z3"/>
    <w:qFormat/>
    <w:rPr>
      <w:rFonts w:ascii="Symbol" w:hAnsi="Symbol" w:cs="Symbol"/>
    </w:rPr>
  </w:style>
  <w:style w:type="character" w:styleId="WW8Num6z1">
    <w:name w:val="WW8Num6z1"/>
    <w:qFormat/>
    <w:rPr/>
  </w:style>
  <w:style w:type="character" w:styleId="WW8Num6z2">
    <w:name w:val="WW8Num6z2"/>
    <w:qFormat/>
    <w:rPr/>
  </w:style>
  <w:style w:type="character" w:styleId="WW8Num6z3">
    <w:name w:val="WW8Num6z3"/>
    <w:qFormat/>
    <w:rPr>
      <w:rFonts w:ascii="Arial" w:hAnsi="Arial" w:cs="Arial"/>
      <w:b/>
      <w:sz w:val="22"/>
      <w:szCs w:val="22"/>
    </w:rPr>
  </w:style>
  <w:style w:type="character" w:styleId="WW8Num6z4">
    <w:name w:val="WW8Num6z4"/>
    <w:qFormat/>
    <w:rPr/>
  </w:style>
  <w:style w:type="character" w:styleId="WW8Num6z5">
    <w:name w:val="WW8Num6z5"/>
    <w:qFormat/>
    <w:rPr/>
  </w:style>
  <w:style w:type="character" w:styleId="WW8Num6z6">
    <w:name w:val="WW8Num6z6"/>
    <w:qFormat/>
    <w:rPr/>
  </w:style>
  <w:style w:type="character" w:styleId="WW8Num6z7">
    <w:name w:val="WW8Num6z7"/>
    <w:qFormat/>
    <w:rPr/>
  </w:style>
  <w:style w:type="character" w:styleId="WW8Num6z8">
    <w:name w:val="WW8Num6z8"/>
    <w:qFormat/>
    <w:rPr/>
  </w:style>
  <w:style w:type="character" w:styleId="WW8Num14z4">
    <w:name w:val="WW8Num14z4"/>
    <w:qFormat/>
    <w:rPr/>
  </w:style>
  <w:style w:type="character" w:styleId="WW8Num14z5">
    <w:name w:val="WW8Num14z5"/>
    <w:qFormat/>
    <w:rPr/>
  </w:style>
  <w:style w:type="character" w:styleId="WW8Num14z6">
    <w:name w:val="WW8Num14z6"/>
    <w:qFormat/>
    <w:rPr/>
  </w:style>
  <w:style w:type="character" w:styleId="WW8Num14z7">
    <w:name w:val="WW8Num14z7"/>
    <w:qFormat/>
    <w:rPr/>
  </w:style>
  <w:style w:type="character" w:styleId="WW8Num14z8">
    <w:name w:val="WW8Num14z8"/>
    <w:qFormat/>
    <w:rPr/>
  </w:style>
  <w:style w:type="character" w:styleId="WW8Num18z3">
    <w:name w:val="WW8Num18z3"/>
    <w:qFormat/>
    <w:rPr/>
  </w:style>
  <w:style w:type="character" w:styleId="WW8Num18z4">
    <w:name w:val="WW8Num18z4"/>
    <w:qFormat/>
    <w:rPr/>
  </w:style>
  <w:style w:type="character" w:styleId="WW8Num18z5">
    <w:name w:val="WW8Num18z5"/>
    <w:qFormat/>
    <w:rPr/>
  </w:style>
  <w:style w:type="character" w:styleId="WW8Num18z6">
    <w:name w:val="WW8Num18z6"/>
    <w:qFormat/>
    <w:rPr/>
  </w:style>
  <w:style w:type="character" w:styleId="WW8Num18z7">
    <w:name w:val="WW8Num18z7"/>
    <w:qFormat/>
    <w:rPr/>
  </w:style>
  <w:style w:type="character" w:styleId="WW8Num18z8">
    <w:name w:val="WW8Num18z8"/>
    <w:qFormat/>
    <w:rPr/>
  </w:style>
  <w:style w:type="character" w:styleId="WW8Num19z3">
    <w:name w:val="WW8Num19z3"/>
    <w:qFormat/>
    <w:rPr/>
  </w:style>
  <w:style w:type="character" w:styleId="WW8Num19z4">
    <w:name w:val="WW8Num19z4"/>
    <w:qFormat/>
    <w:rPr/>
  </w:style>
  <w:style w:type="character" w:styleId="WW8Num19z5">
    <w:name w:val="WW8Num19z5"/>
    <w:qFormat/>
    <w:rPr/>
  </w:style>
  <w:style w:type="character" w:styleId="WW8Num19z6">
    <w:name w:val="WW8Num19z6"/>
    <w:qFormat/>
    <w:rPr/>
  </w:style>
  <w:style w:type="character" w:styleId="WW8Num19z7">
    <w:name w:val="WW8Num19z7"/>
    <w:qFormat/>
    <w:rPr/>
  </w:style>
  <w:style w:type="character" w:styleId="WW8Num19z8">
    <w:name w:val="WW8Num19z8"/>
    <w:qFormat/>
    <w:rPr/>
  </w:style>
  <w:style w:type="character" w:styleId="Domylnaczcionkaakapitu3">
    <w:name w:val="Domyślna czcionka akapitu3"/>
    <w:qFormat/>
    <w:rPr/>
  </w:style>
  <w:style w:type="character" w:styleId="WW8Num7z1">
    <w:name w:val="WW8Num7z1"/>
    <w:qFormat/>
    <w:rPr/>
  </w:style>
  <w:style w:type="character" w:styleId="WW8Num7z2">
    <w:name w:val="WW8Num7z2"/>
    <w:qFormat/>
    <w:rPr/>
  </w:style>
  <w:style w:type="character" w:styleId="WW8Num7z3">
    <w:name w:val="WW8Num7z3"/>
    <w:qFormat/>
    <w:rPr>
      <w:rFonts w:ascii="Arial" w:hAnsi="Arial" w:cs="Arial"/>
      <w:b/>
      <w:sz w:val="22"/>
      <w:szCs w:val="22"/>
    </w:rPr>
  </w:style>
  <w:style w:type="character" w:styleId="WW8Num7z4">
    <w:name w:val="WW8Num7z4"/>
    <w:qFormat/>
    <w:rPr/>
  </w:style>
  <w:style w:type="character" w:styleId="WW8Num7z5">
    <w:name w:val="WW8Num7z5"/>
    <w:qFormat/>
    <w:rPr/>
  </w:style>
  <w:style w:type="character" w:styleId="WW8Num7z6">
    <w:name w:val="WW8Num7z6"/>
    <w:qFormat/>
    <w:rPr/>
  </w:style>
  <w:style w:type="character" w:styleId="WW8Num7z7">
    <w:name w:val="WW8Num7z7"/>
    <w:qFormat/>
    <w:rPr/>
  </w:style>
  <w:style w:type="character" w:styleId="WW8Num7z8">
    <w:name w:val="WW8Num7z8"/>
    <w:qFormat/>
    <w:rPr/>
  </w:style>
  <w:style w:type="character" w:styleId="WW8Num15z3">
    <w:name w:val="WW8Num15z3"/>
    <w:qFormat/>
    <w:rPr/>
  </w:style>
  <w:style w:type="character" w:styleId="WW8Num15z4">
    <w:name w:val="WW8Num15z4"/>
    <w:qFormat/>
    <w:rPr/>
  </w:style>
  <w:style w:type="character" w:styleId="WW8Num15z5">
    <w:name w:val="WW8Num15z5"/>
    <w:qFormat/>
    <w:rPr/>
  </w:style>
  <w:style w:type="character" w:styleId="WW8Num15z6">
    <w:name w:val="WW8Num15z6"/>
    <w:qFormat/>
    <w:rPr/>
  </w:style>
  <w:style w:type="character" w:styleId="WW8Num15z7">
    <w:name w:val="WW8Num15z7"/>
    <w:qFormat/>
    <w:rPr/>
  </w:style>
  <w:style w:type="character" w:styleId="WW8Num15z8">
    <w:name w:val="WW8Num15z8"/>
    <w:qFormat/>
    <w:rPr/>
  </w:style>
  <w:style w:type="character" w:styleId="Domylnaczcionkaakapitu2">
    <w:name w:val="Domyślna czcionka akapitu2"/>
    <w:qFormat/>
    <w:rPr/>
  </w:style>
  <w:style w:type="character" w:styleId="WW8Num2z1">
    <w:name w:val="WW8Num2z1"/>
    <w:qFormat/>
    <w:rPr>
      <w:rFonts w:ascii="Courier New" w:hAnsi="Courier New" w:cs="Courier New"/>
    </w:rPr>
  </w:style>
  <w:style w:type="character" w:styleId="WW8Num2z2">
    <w:name w:val="WW8Num2z2"/>
    <w:qFormat/>
    <w:rPr>
      <w:rFonts w:ascii="Wingdings" w:hAnsi="Wingdings" w:cs="Wingdings"/>
    </w:rPr>
  </w:style>
  <w:style w:type="character" w:styleId="WW8Num3z2">
    <w:name w:val="WW8Num3z2"/>
    <w:qFormat/>
    <w:rPr/>
  </w:style>
  <w:style w:type="character" w:styleId="WW8Num3z4">
    <w:name w:val="WW8Num3z4"/>
    <w:qFormat/>
    <w:rPr/>
  </w:style>
  <w:style w:type="character" w:styleId="WW8Num3z5">
    <w:name w:val="WW8Num3z5"/>
    <w:qFormat/>
    <w:rPr/>
  </w:style>
  <w:style w:type="character" w:styleId="WW8Num3z6">
    <w:name w:val="WW8Num3z6"/>
    <w:qFormat/>
    <w:rPr/>
  </w:style>
  <w:style w:type="character" w:styleId="WW8Num3z7">
    <w:name w:val="WW8Num3z7"/>
    <w:qFormat/>
    <w:rPr/>
  </w:style>
  <w:style w:type="character" w:styleId="WW8Num3z8">
    <w:name w:val="WW8Num3z8"/>
    <w:qFormat/>
    <w:rPr/>
  </w:style>
  <w:style w:type="character" w:styleId="WW8Num4z2">
    <w:name w:val="WW8Num4z2"/>
    <w:qFormat/>
    <w:rPr>
      <w:rFonts w:ascii="Wingdings" w:hAnsi="Wingdings" w:cs="Wingdings"/>
    </w:rPr>
  </w:style>
  <w:style w:type="character" w:styleId="WW8Num5z1">
    <w:name w:val="WW8Num5z1"/>
    <w:qFormat/>
    <w:rPr>
      <w:rFonts w:ascii="Courier New" w:hAnsi="Courier New" w:cs="Courier New"/>
    </w:rPr>
  </w:style>
  <w:style w:type="character" w:styleId="WW8Num5z3">
    <w:name w:val="WW8Num5z3"/>
    <w:qFormat/>
    <w:rPr>
      <w:rFonts w:ascii="Symbol" w:hAnsi="Symbol" w:cs="Symbol"/>
    </w:rPr>
  </w:style>
  <w:style w:type="character" w:styleId="WW8Num8z1">
    <w:name w:val="WW8Num8z1"/>
    <w:qFormat/>
    <w:rPr>
      <w:rFonts w:ascii="Courier New" w:hAnsi="Courier New" w:cs="Courier New"/>
    </w:rPr>
  </w:style>
  <w:style w:type="character" w:styleId="WW8Num8z2">
    <w:name w:val="WW8Num8z2"/>
    <w:qFormat/>
    <w:rPr>
      <w:rFonts w:ascii="Wingdings" w:hAnsi="Wingdings" w:cs="Wingdings"/>
    </w:rPr>
  </w:style>
  <w:style w:type="character" w:styleId="WW8Num9z1">
    <w:name w:val="WW8Num9z1"/>
    <w:qFormat/>
    <w:rPr/>
  </w:style>
  <w:style w:type="character" w:styleId="WW8Num9z2">
    <w:name w:val="WW8Num9z2"/>
    <w:qFormat/>
    <w:rPr/>
  </w:style>
  <w:style w:type="character" w:styleId="WW8Num9z3">
    <w:name w:val="WW8Num9z3"/>
    <w:qFormat/>
    <w:rPr>
      <w:rFonts w:ascii="Arial" w:hAnsi="Arial" w:cs="Arial"/>
      <w:b/>
      <w:sz w:val="22"/>
      <w:szCs w:val="22"/>
    </w:rPr>
  </w:style>
  <w:style w:type="character" w:styleId="WW8Num9z4">
    <w:name w:val="WW8Num9z4"/>
    <w:qFormat/>
    <w:rPr/>
  </w:style>
  <w:style w:type="character" w:styleId="WW8Num9z5">
    <w:name w:val="WW8Num9z5"/>
    <w:qFormat/>
    <w:rPr/>
  </w:style>
  <w:style w:type="character" w:styleId="WW8Num9z6">
    <w:name w:val="WW8Num9z6"/>
    <w:qFormat/>
    <w:rPr/>
  </w:style>
  <w:style w:type="character" w:styleId="WW8Num9z7">
    <w:name w:val="WW8Num9z7"/>
    <w:qFormat/>
    <w:rPr/>
  </w:style>
  <w:style w:type="character" w:styleId="WW8Num9z8">
    <w:name w:val="WW8Num9z8"/>
    <w:qFormat/>
    <w:rPr/>
  </w:style>
  <w:style w:type="character" w:styleId="WW8Num12z1">
    <w:name w:val="WW8Num12z1"/>
    <w:qFormat/>
    <w:rPr/>
  </w:style>
  <w:style w:type="character" w:styleId="WW8Num12z2">
    <w:name w:val="WW8Num12z2"/>
    <w:qFormat/>
    <w:rPr/>
  </w:style>
  <w:style w:type="character" w:styleId="WW8Num12z3">
    <w:name w:val="WW8Num12z3"/>
    <w:qFormat/>
    <w:rPr/>
  </w:style>
  <w:style w:type="character" w:styleId="WW8Num12z4">
    <w:name w:val="WW8Num12z4"/>
    <w:qFormat/>
    <w:rPr/>
  </w:style>
  <w:style w:type="character" w:styleId="WW8Num12z5">
    <w:name w:val="WW8Num12z5"/>
    <w:qFormat/>
    <w:rPr/>
  </w:style>
  <w:style w:type="character" w:styleId="WW8Num12z6">
    <w:name w:val="WW8Num12z6"/>
    <w:qFormat/>
    <w:rPr/>
  </w:style>
  <w:style w:type="character" w:styleId="WW8Num12z7">
    <w:name w:val="WW8Num12z7"/>
    <w:qFormat/>
    <w:rPr/>
  </w:style>
  <w:style w:type="character" w:styleId="WW8Num12z8">
    <w:name w:val="WW8Num12z8"/>
    <w:qFormat/>
    <w:rPr/>
  </w:style>
  <w:style w:type="character" w:styleId="WW8Num13z1">
    <w:name w:val="WW8Num13z1"/>
    <w:qFormat/>
    <w:rPr>
      <w:rFonts w:ascii="Courier New" w:hAnsi="Courier New" w:cs="Courier New"/>
    </w:rPr>
  </w:style>
  <w:style w:type="character" w:styleId="WW8Num13z2">
    <w:name w:val="WW8Num13z2"/>
    <w:qFormat/>
    <w:rPr>
      <w:rFonts w:ascii="Wingdings" w:hAnsi="Wingdings" w:cs="Wingdings"/>
    </w:rPr>
  </w:style>
  <w:style w:type="character" w:styleId="WW8Num20z0">
    <w:name w:val="WW8Num20z0"/>
    <w:qFormat/>
    <w:rPr>
      <w:rFonts w:ascii="Symbol" w:hAnsi="Symbol" w:cs="Symbol"/>
    </w:rPr>
  </w:style>
  <w:style w:type="character" w:styleId="WW8Num20z1">
    <w:name w:val="WW8Num20z1"/>
    <w:qFormat/>
    <w:rPr>
      <w:rFonts w:ascii="Courier New" w:hAnsi="Courier New" w:cs="Courier New"/>
    </w:rPr>
  </w:style>
  <w:style w:type="character" w:styleId="WW8Num20z2">
    <w:name w:val="WW8Num20z2"/>
    <w:qFormat/>
    <w:rPr>
      <w:rFonts w:ascii="Wingdings" w:hAnsi="Wingdings" w:cs="Wingdings"/>
    </w:rPr>
  </w:style>
  <w:style w:type="character" w:styleId="WW8Num21z0">
    <w:name w:val="WW8Num21z0"/>
    <w:qFormat/>
    <w:rPr>
      <w:rFonts w:ascii="Symbol" w:hAnsi="Symbol" w:cs="Symbol"/>
    </w:rPr>
  </w:style>
  <w:style w:type="character" w:styleId="WW8Num21z1">
    <w:name w:val="WW8Num21z1"/>
    <w:qFormat/>
    <w:rPr>
      <w:rFonts w:ascii="Courier New" w:hAnsi="Courier New" w:cs="Courier New"/>
    </w:rPr>
  </w:style>
  <w:style w:type="character" w:styleId="WW8Num21z2">
    <w:name w:val="WW8Num21z2"/>
    <w:qFormat/>
    <w:rPr>
      <w:rFonts w:ascii="Wingdings" w:hAnsi="Wingdings" w:cs="Wingdings"/>
    </w:rPr>
  </w:style>
  <w:style w:type="character" w:styleId="WW8Num22z0">
    <w:name w:val="WW8Num22z0"/>
    <w:qFormat/>
    <w:rPr/>
  </w:style>
  <w:style w:type="character" w:styleId="WW8Num22z1">
    <w:name w:val="WW8Num22z1"/>
    <w:qFormat/>
    <w:rPr/>
  </w:style>
  <w:style w:type="character" w:styleId="WW8Num22z2">
    <w:name w:val="WW8Num22z2"/>
    <w:qFormat/>
    <w:rPr/>
  </w:style>
  <w:style w:type="character" w:styleId="WW8Num22z3">
    <w:name w:val="WW8Num22z3"/>
    <w:qFormat/>
    <w:rPr/>
  </w:style>
  <w:style w:type="character" w:styleId="WW8Num22z4">
    <w:name w:val="WW8Num22z4"/>
    <w:qFormat/>
    <w:rPr/>
  </w:style>
  <w:style w:type="character" w:styleId="WW8Num22z5">
    <w:name w:val="WW8Num22z5"/>
    <w:qFormat/>
    <w:rPr/>
  </w:style>
  <w:style w:type="character" w:styleId="WW8Num22z6">
    <w:name w:val="WW8Num22z6"/>
    <w:qFormat/>
    <w:rPr/>
  </w:style>
  <w:style w:type="character" w:styleId="WW8Num22z7">
    <w:name w:val="WW8Num22z7"/>
    <w:qFormat/>
    <w:rPr/>
  </w:style>
  <w:style w:type="character" w:styleId="WW8Num22z8">
    <w:name w:val="WW8Num22z8"/>
    <w:qFormat/>
    <w:rPr/>
  </w:style>
  <w:style w:type="character" w:styleId="Domylnaczcionkaakapitu1">
    <w:name w:val="Domyślna czcionka akapitu1"/>
    <w:qFormat/>
    <w:rPr/>
  </w:style>
  <w:style w:type="character" w:styleId="ZnakZnak5">
    <w:name w:val=" Znak Znak5"/>
    <w:qFormat/>
    <w:rPr>
      <w:rFonts w:ascii="Times New Roman" w:hAnsi="Times New Roman" w:cs="Times New Roman"/>
      <w:b/>
      <w:bCs/>
      <w:i/>
      <w:iCs/>
      <w:sz w:val="26"/>
      <w:szCs w:val="26"/>
    </w:rPr>
  </w:style>
  <w:style w:type="character" w:styleId="ZnakZnak3">
    <w:name w:val=" Znak Znak3"/>
    <w:qFormat/>
    <w:rPr>
      <w:rFonts w:ascii="Arial" w:hAnsi="Arial" w:cs="Arial"/>
      <w:b/>
      <w:bCs/>
      <w:sz w:val="20"/>
      <w:szCs w:val="20"/>
    </w:rPr>
  </w:style>
  <w:style w:type="character" w:styleId="ZnakZnak2">
    <w:name w:val=" Znak Znak2"/>
    <w:qFormat/>
    <w:rPr>
      <w:rFonts w:ascii="Times New Roman" w:hAnsi="Times New Roman" w:cs="Times New Roman"/>
      <w:sz w:val="20"/>
      <w:szCs w:val="20"/>
    </w:rPr>
  </w:style>
  <w:style w:type="character" w:styleId="ZnakZnak1">
    <w:name w:val=" Znak Znak1"/>
    <w:qFormat/>
    <w:rPr>
      <w:rFonts w:ascii="Times New Roman" w:hAnsi="Times New Roman" w:cs="Times New Roman"/>
      <w:sz w:val="20"/>
      <w:szCs w:val="20"/>
    </w:rPr>
  </w:style>
  <w:style w:type="character" w:styleId="Wyrnienie">
    <w:name w:val="Wyróżnienie"/>
    <w:qFormat/>
    <w:rPr>
      <w:i/>
      <w:iCs/>
    </w:rPr>
  </w:style>
  <w:style w:type="character" w:styleId="ZnakZnak">
    <w:name w:val=" Znak Znak"/>
    <w:qFormat/>
    <w:rPr>
      <w:rFonts w:ascii="Tahoma" w:hAnsi="Tahoma" w:eastAsia="Times New Roman" w:cs="Tahoma"/>
      <w:sz w:val="16"/>
      <w:szCs w:val="16"/>
    </w:rPr>
  </w:style>
  <w:style w:type="character" w:styleId="Appleconvertedspace">
    <w:name w:val="apple-converted-space"/>
    <w:basedOn w:val="Domylnaczcionkaakapitu1"/>
    <w:qFormat/>
    <w:rPr/>
  </w:style>
  <w:style w:type="character" w:styleId="Mocnowyrniony">
    <w:name w:val="Mocno wyróżniony"/>
    <w:qFormat/>
    <w:rPr>
      <w:b/>
      <w:bCs/>
    </w:rPr>
  </w:style>
  <w:style w:type="character" w:styleId="ZnakZnak4">
    <w:name w:val=" Znak Znak4"/>
    <w:qFormat/>
    <w:rPr>
      <w:rFonts w:ascii="Calibri" w:hAnsi="Calibri" w:eastAsia="Times New Roman" w:cs="Times New Roman"/>
      <w:b/>
      <w:bCs/>
      <w:sz w:val="22"/>
      <w:szCs w:val="22"/>
    </w:rPr>
  </w:style>
  <w:style w:type="character" w:styleId="2Znak">
    <w:name w:val="2 Znak"/>
    <w:qFormat/>
    <w:rPr>
      <w:rFonts w:ascii="Arial" w:hAnsi="Arial" w:cs="Arial"/>
      <w:b/>
      <w:spacing w:val="20"/>
      <w:sz w:val="26"/>
      <w:szCs w:val="26"/>
      <w:lang w:val="pl-PL" w:bidi="ar-SA"/>
    </w:rPr>
  </w:style>
  <w:style w:type="character" w:styleId="3Znak">
    <w:name w:val="3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4Znak">
    <w:name w:val="4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5Znak">
    <w:name w:val="5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I1Znak">
    <w:name w:val="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III1Znak">
    <w:name w:val="II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ZnakZnak6">
    <w:name w:val=" Znak Znak6"/>
    <w:qFormat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BBF1StopieZnak">
    <w:name w:val="BBF-1 Stopień Znak"/>
    <w:qFormat/>
    <w:rPr>
      <w:rFonts w:ascii="Arial" w:hAnsi="Arial" w:eastAsia="Times New Roman" w:cs="Arial"/>
      <w:b/>
      <w:sz w:val="24"/>
      <w:szCs w:val="24"/>
    </w:rPr>
  </w:style>
  <w:style w:type="character" w:styleId="ZnakZnak7">
    <w:name w:val=" Znak Znak7"/>
    <w:qFormat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ekstrdowy">
    <w:name w:val="Tekst źródłowy"/>
    <w:qFormat/>
    <w:rPr>
      <w:rFonts w:ascii="Liberation Mono;Courier New" w:hAnsi="Liberation Mono;Courier New" w:eastAsia="NSimSun" w:cs="Liberation Mono;Courier New"/>
    </w:rPr>
  </w:style>
  <w:style w:type="character" w:styleId="NagwekZnak">
    <w:name w:val="Nagłówek Znak"/>
    <w:qFormat/>
    <w:rPr>
      <w:lang w:eastAsia="zh-CN"/>
    </w:rPr>
  </w:style>
  <w:style w:type="character" w:styleId="Czeinternetowe">
    <w:name w:val="Łącze internetowe"/>
    <w:rPr>
      <w:color w:val="0563C1"/>
      <w:u w:val="single"/>
    </w:rPr>
  </w:style>
  <w:style w:type="character" w:styleId="WWCharLFO31LVL1">
    <w:name w:val="WW_CharLFO31LVL1"/>
    <w:qFormat/>
    <w:rPr>
      <w:rFonts w:ascii="Symbol" w:hAnsi="Symbol" w:cs="Symbol"/>
      <w:b/>
      <w:sz w:val="24"/>
      <w:szCs w:val="24"/>
    </w:rPr>
  </w:style>
  <w:style w:type="character" w:styleId="WWCharLFO31LVL2">
    <w:name w:val="WW_CharLFO31LVL2"/>
    <w:qFormat/>
    <w:rPr>
      <w:rFonts w:ascii="Courier New" w:hAnsi="Courier New" w:cs="Courier New"/>
    </w:rPr>
  </w:style>
  <w:style w:type="character" w:styleId="WWCharLFO31LVL3">
    <w:name w:val="WW_CharLFO31LVL3"/>
    <w:qFormat/>
    <w:rPr>
      <w:rFonts w:ascii="Wingdings" w:hAnsi="Wingdings" w:cs="Wingdings"/>
    </w:rPr>
  </w:style>
  <w:style w:type="character" w:styleId="WWCharLFO31LVL4">
    <w:name w:val="WW_CharLFO31LVL4"/>
    <w:qFormat/>
    <w:rPr>
      <w:rFonts w:ascii="Symbol" w:hAnsi="Symbol" w:cs="Symbol"/>
    </w:rPr>
  </w:style>
  <w:style w:type="character" w:styleId="WWCharLFO31LVL5">
    <w:name w:val="WW_CharLFO31LVL5"/>
    <w:qFormat/>
    <w:rPr>
      <w:rFonts w:ascii="Courier New" w:hAnsi="Courier New" w:cs="Courier New"/>
    </w:rPr>
  </w:style>
  <w:style w:type="character" w:styleId="WWCharLFO31LVL6">
    <w:name w:val="WW_CharLFO31LVL6"/>
    <w:qFormat/>
    <w:rPr>
      <w:rFonts w:ascii="Wingdings" w:hAnsi="Wingdings" w:cs="Wingdings"/>
    </w:rPr>
  </w:style>
  <w:style w:type="character" w:styleId="WWCharLFO31LVL7">
    <w:name w:val="WW_CharLFO31LVL7"/>
    <w:qFormat/>
    <w:rPr>
      <w:rFonts w:ascii="Symbol" w:hAnsi="Symbol" w:cs="Symbol"/>
    </w:rPr>
  </w:style>
  <w:style w:type="character" w:styleId="WWCharLFO31LVL8">
    <w:name w:val="WW_CharLFO31LVL8"/>
    <w:qFormat/>
    <w:rPr>
      <w:rFonts w:ascii="Courier New" w:hAnsi="Courier New" w:cs="Courier New"/>
    </w:rPr>
  </w:style>
  <w:style w:type="character" w:styleId="WWCharLFO31LVL9">
    <w:name w:val="WW_CharLFO31LVL9"/>
    <w:qFormat/>
    <w:rPr>
      <w:rFonts w:ascii="Wingdings" w:hAnsi="Wingdings" w:cs="Wingdings"/>
    </w:rPr>
  </w:style>
  <w:style w:type="character" w:styleId="Czeindeksu">
    <w:name w:val="Łącze indeksu"/>
    <w:qFormat/>
    <w:rPr/>
  </w:style>
  <w:style w:type="character" w:styleId="Znakinumeracji">
    <w:name w:val="Znaki numeracji"/>
    <w:qFormat/>
    <w:rPr/>
  </w:style>
  <w:style w:type="character" w:styleId="WWCharLFO9LVL1">
    <w:name w:val="WW_CharLFO9LVL1"/>
    <w:qFormat/>
    <w:rPr>
      <w:lang w:val="pl-PL"/>
    </w:rPr>
  </w:style>
  <w:style w:type="character" w:styleId="ListLabel1">
    <w:name w:val="ListLabel 1"/>
    <w:qFormat/>
    <w:rPr>
      <w:sz w:val="24"/>
      <w:szCs w:val="24"/>
    </w:rPr>
  </w:style>
  <w:style w:type="character" w:styleId="ListLabel2">
    <w:name w:val="ListLabel 2"/>
    <w:qFormat/>
    <w:rPr>
      <w:rFonts w:cs="Wingdings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Wingdings"/>
    </w:rPr>
  </w:style>
  <w:style w:type="character" w:styleId="ListLabel5">
    <w:name w:val="ListLabel 5"/>
    <w:qFormat/>
    <w:rPr>
      <w:rFonts w:cs="Symbol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Wingdings"/>
    </w:rPr>
  </w:style>
  <w:style w:type="character" w:styleId="ListLabel8">
    <w:name w:val="ListLabel 8"/>
    <w:qFormat/>
    <w:rPr>
      <w:rFonts w:cs="Symbol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Arial"/>
      <w:b/>
      <w:i w:val="false"/>
      <w:sz w:val="24"/>
      <w:u w:val="none"/>
    </w:rPr>
  </w:style>
  <w:style w:type="character" w:styleId="ListLabel12">
    <w:name w:val="ListLabel 12"/>
    <w:qFormat/>
    <w:rPr>
      <w:rFonts w:cs="Symbol"/>
      <w:b/>
      <w:sz w:val="22"/>
      <w:szCs w:val="24"/>
    </w:rPr>
  </w:style>
  <w:style w:type="character" w:styleId="ListLabel13">
    <w:name w:val="ListLabel 13"/>
    <w:qFormat/>
    <w:rPr>
      <w:rFonts w:cs="Symbol"/>
      <w:sz w:val="24"/>
      <w:szCs w:val="24"/>
    </w:rPr>
  </w:style>
  <w:style w:type="character" w:styleId="ListLabel14">
    <w:name w:val="ListLabel 14"/>
    <w:qFormat/>
    <w:rPr>
      <w:rFonts w:cs="Times New Roman"/>
      <w:b/>
      <w:sz w:val="28"/>
      <w:szCs w:val="24"/>
    </w:rPr>
  </w:style>
  <w:style w:type="character" w:styleId="ListLabel15">
    <w:name w:val="ListLabel 15"/>
    <w:qFormat/>
    <w:rPr>
      <w:rFonts w:cs="Times New Roman"/>
      <w:b/>
      <w:bCs w:val="false"/>
      <w:sz w:val="28"/>
      <w:szCs w:val="24"/>
    </w:rPr>
  </w:style>
  <w:style w:type="character" w:styleId="ListLabel16">
    <w:name w:val="ListLabel 16"/>
    <w:qFormat/>
    <w:rPr>
      <w:rFonts w:cs="Symbol"/>
      <w:sz w:val="24"/>
      <w:szCs w:val="24"/>
    </w:rPr>
  </w:style>
  <w:style w:type="character" w:styleId="ListLabel17">
    <w:name w:val="ListLabel 17"/>
    <w:qFormat/>
    <w:rPr>
      <w:rFonts w:cs="Symbol"/>
      <w:sz w:val="24"/>
      <w:szCs w:val="24"/>
    </w:rPr>
  </w:style>
  <w:style w:type="character" w:styleId="ListLabel18">
    <w:name w:val="ListLabel 18"/>
    <w:qFormat/>
    <w:rPr>
      <w:rFonts w:cs="Symbol"/>
      <w:sz w:val="24"/>
      <w:szCs w:val="24"/>
    </w:rPr>
  </w:style>
  <w:style w:type="character" w:styleId="ListLabel19">
    <w:name w:val="ListLabel 19"/>
    <w:qFormat/>
    <w:rPr>
      <w:rFonts w:cs="Symbol"/>
      <w:sz w:val="24"/>
      <w:szCs w:val="24"/>
    </w:rPr>
  </w:style>
  <w:style w:type="character" w:styleId="ListLabel20">
    <w:name w:val="ListLabel 20"/>
    <w:qFormat/>
    <w:rPr>
      <w:lang w:val="pl-PL"/>
    </w:rPr>
  </w:style>
  <w:style w:type="character" w:styleId="ListLabel21">
    <w:name w:val="ListLabel 21"/>
    <w:qFormat/>
    <w:rPr>
      <w:sz w:val="24"/>
      <w:szCs w:val="24"/>
    </w:rPr>
  </w:style>
  <w:style w:type="character" w:styleId="ListLabel22">
    <w:name w:val="ListLabel 22"/>
    <w:qFormat/>
    <w:rPr>
      <w:rFonts w:cs="Symbol"/>
      <w:b/>
      <w:sz w:val="22"/>
      <w:szCs w:val="24"/>
    </w:rPr>
  </w:style>
  <w:style w:type="character" w:styleId="ListLabel23">
    <w:name w:val="ListLabel 23"/>
    <w:qFormat/>
    <w:rPr>
      <w:rFonts w:cs="Symbol"/>
      <w:sz w:val="24"/>
      <w:szCs w:val="24"/>
    </w:rPr>
  </w:style>
  <w:style w:type="character" w:styleId="ListLabel24">
    <w:name w:val="ListLabel 24"/>
    <w:qFormat/>
    <w:rPr>
      <w:rFonts w:cs="Symbol"/>
      <w:sz w:val="24"/>
      <w:szCs w:val="24"/>
    </w:rPr>
  </w:style>
  <w:style w:type="character" w:styleId="ListLabel25">
    <w:name w:val="ListLabel 25"/>
    <w:qFormat/>
    <w:rPr>
      <w:rFonts w:cs="Symbol"/>
      <w:sz w:val="24"/>
      <w:szCs w:val="24"/>
    </w:rPr>
  </w:style>
  <w:style w:type="character" w:styleId="ListLabel26">
    <w:name w:val="ListLabel 26"/>
    <w:qFormat/>
    <w:rPr>
      <w:rFonts w:cs="Symbol"/>
      <w:sz w:val="24"/>
      <w:szCs w:val="24"/>
    </w:rPr>
  </w:style>
  <w:style w:type="character" w:styleId="ListLabel27">
    <w:name w:val="ListLabel 27"/>
    <w:qFormat/>
    <w:rPr>
      <w:rFonts w:cs="Symbol"/>
      <w:sz w:val="24"/>
      <w:szCs w:val="24"/>
    </w:rPr>
  </w:style>
  <w:style w:type="character" w:styleId="ListLabel28">
    <w:name w:val="ListLabel 28"/>
    <w:qFormat/>
    <w:rPr>
      <w:rFonts w:cs="Symbol"/>
      <w:b/>
      <w:sz w:val="22"/>
      <w:szCs w:val="24"/>
    </w:rPr>
  </w:style>
  <w:style w:type="character" w:styleId="ListLabel29">
    <w:name w:val="ListLabel 29"/>
    <w:qFormat/>
    <w:rPr>
      <w:rFonts w:cs="Symbol"/>
      <w:sz w:val="24"/>
      <w:szCs w:val="24"/>
    </w:rPr>
  </w:style>
  <w:style w:type="character" w:styleId="ListLabel30">
    <w:name w:val="ListLabel 30"/>
    <w:qFormat/>
    <w:rPr>
      <w:rFonts w:cs="Symbol"/>
      <w:sz w:val="24"/>
      <w:szCs w:val="24"/>
    </w:rPr>
  </w:style>
  <w:style w:type="character" w:styleId="ListLabel31">
    <w:name w:val="ListLabel 31"/>
    <w:qFormat/>
    <w:rPr>
      <w:rFonts w:cs="Symbol"/>
      <w:sz w:val="24"/>
      <w:szCs w:val="24"/>
    </w:rPr>
  </w:style>
  <w:style w:type="character" w:styleId="ListLabel32">
    <w:name w:val="ListLabel 32"/>
    <w:qFormat/>
    <w:rPr>
      <w:rFonts w:cs="Symbol"/>
      <w:sz w:val="24"/>
      <w:szCs w:val="24"/>
    </w:rPr>
  </w:style>
  <w:style w:type="character" w:styleId="ListLabel33">
    <w:name w:val="ListLabel 33"/>
    <w:qFormat/>
    <w:rPr>
      <w:rFonts w:cs="Symbol"/>
      <w:sz w:val="24"/>
      <w:szCs w:val="24"/>
    </w:rPr>
  </w:style>
  <w:style w:type="character" w:styleId="ListLabel34">
    <w:name w:val="ListLabel 34"/>
    <w:qFormat/>
    <w:rPr>
      <w:rFonts w:cs="Symbol"/>
      <w:b/>
      <w:sz w:val="22"/>
      <w:szCs w:val="24"/>
    </w:rPr>
  </w:style>
  <w:style w:type="character" w:styleId="ListLabel35">
    <w:name w:val="ListLabel 35"/>
    <w:qFormat/>
    <w:rPr>
      <w:rFonts w:cs="Symbol"/>
      <w:sz w:val="24"/>
      <w:szCs w:val="24"/>
    </w:rPr>
  </w:style>
  <w:style w:type="character" w:styleId="ListLabel36">
    <w:name w:val="ListLabel 36"/>
    <w:qFormat/>
    <w:rPr>
      <w:rFonts w:cs="Symbol"/>
      <w:sz w:val="24"/>
      <w:szCs w:val="24"/>
    </w:rPr>
  </w:style>
  <w:style w:type="character" w:styleId="ListLabel37">
    <w:name w:val="ListLabel 37"/>
    <w:qFormat/>
    <w:rPr>
      <w:rFonts w:cs="Symbol"/>
      <w:sz w:val="24"/>
      <w:szCs w:val="24"/>
    </w:rPr>
  </w:style>
  <w:style w:type="character" w:styleId="ListLabel38">
    <w:name w:val="ListLabel 38"/>
    <w:qFormat/>
    <w:rPr>
      <w:rFonts w:cs="Symbol"/>
      <w:sz w:val="24"/>
      <w:szCs w:val="24"/>
    </w:rPr>
  </w:style>
  <w:style w:type="character" w:styleId="ListLabel39">
    <w:name w:val="ListLabel 39"/>
    <w:qFormat/>
    <w:rPr>
      <w:rFonts w:cs="Symbol"/>
      <w:sz w:val="24"/>
      <w:szCs w:val="24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360"/>
      <w:jc w:val="center"/>
    </w:pPr>
    <w:rPr>
      <w:rFonts w:ascii="Arial" w:hAnsi="Arial" w:cs="Arial"/>
      <w:b/>
      <w:bCs/>
      <w:sz w:val="22"/>
      <w:szCs w:val="22"/>
    </w:rPr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Nagwek31">
    <w:name w:val="Nagłówek3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Nagwek51">
    <w:name w:val="Nagłówek5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">
    <w:name w:val="Legenda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4">
    <w:name w:val="Nagłówek4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4">
    <w:name w:val="Legenda4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Legenda3">
    <w:name w:val="Legenda3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21">
    <w:name w:val="Nagłówek2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2">
    <w:name w:val="Legenda2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11">
    <w:name w:val="Nagłówek1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1">
    <w:name w:val="Legenda1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Gwkaistopka">
    <w:name w:val="Główka i stopka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Gwka">
    <w:name w:val="Header"/>
    <w:basedOn w:val="Normal"/>
    <w:pPr/>
    <w:rPr/>
  </w:style>
  <w:style w:type="paragraph" w:styleId="Stopka">
    <w:name w:val="Footer"/>
    <w:basedOn w:val="Normal"/>
    <w:pPr/>
    <w:rPr/>
  </w:style>
  <w:style w:type="paragraph" w:styleId="Akapitzlist">
    <w:name w:val="Akapit z listą"/>
    <w:basedOn w:val="Normal"/>
    <w:qFormat/>
    <w:pPr>
      <w:ind w:left="720" w:right="0" w:hanging="0"/>
    </w:pPr>
    <w:rPr/>
  </w:style>
  <w:style w:type="paragraph" w:styleId="AB2EC678D6BE4DEEA4B03F6A770A2BBD">
    <w:name w:val="AB2EC678D6BE4DEEA4B03F6A770A2BBD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Times New Roman" w:cs="Calibri"/>
      <w:color w:val="auto"/>
      <w:kern w:val="2"/>
      <w:sz w:val="22"/>
      <w:szCs w:val="22"/>
      <w:lang w:val="en-US" w:eastAsia="zh-CN" w:bidi="ar-SA"/>
    </w:rPr>
  </w:style>
  <w:style w:type="paragraph" w:styleId="Tekstdymka">
    <w:name w:val="Tekst dymka"/>
    <w:basedOn w:val="Normal"/>
    <w:qFormat/>
    <w:pPr/>
    <w:rPr>
      <w:rFonts w:ascii="Tahoma" w:hAnsi="Tahoma" w:cs="Tahoma"/>
      <w:sz w:val="16"/>
      <w:szCs w:val="16"/>
    </w:rPr>
  </w:style>
  <w:style w:type="paragraph" w:styleId="Nagwek2Title2">
    <w:name w:val="Nagłówek 2.Title 2"/>
    <w:basedOn w:val="Normal"/>
    <w:qFormat/>
    <w:pPr>
      <w:tabs>
        <w:tab w:val="clear" w:pos="709"/>
        <w:tab w:val="left" w:pos="567" w:leader="none"/>
      </w:tabs>
      <w:ind w:left="567" w:right="0" w:hanging="567"/>
    </w:pPr>
    <w:rPr/>
  </w:style>
  <w:style w:type="paragraph" w:styleId="2">
    <w:name w:val="2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3">
    <w:name w:val="3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4">
    <w:name w:val="4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5">
    <w:name w:val="5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I1">
    <w:name w:val="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III1">
    <w:name w:val="II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BBF1Stopie">
    <w:name w:val="BBF-1 Stopień"/>
    <w:basedOn w:val="Normal"/>
    <w:next w:val="Normal"/>
    <w:qFormat/>
    <w:pPr>
      <w:spacing w:before="0" w:after="120"/>
      <w:jc w:val="both"/>
    </w:pPr>
    <w:rPr>
      <w:rFonts w:ascii="Arial" w:hAnsi="Arial" w:cs="Arial"/>
      <w:b/>
      <w:sz w:val="24"/>
      <w:szCs w:val="24"/>
    </w:rPr>
  </w:style>
  <w:style w:type="paragraph" w:styleId="Nagwekwykazurde1">
    <w:name w:val="Nagłówek wykazu źródeł1"/>
    <w:basedOn w:val="Nagwek1"/>
    <w:next w:val="Normal"/>
    <w:qFormat/>
    <w:pPr>
      <w:keepLines/>
      <w:numPr>
        <w:ilvl w:val="0"/>
        <w:numId w:val="0"/>
      </w:numPr>
      <w:spacing w:lineRule="auto" w:line="252" w:before="240" w:after="0"/>
      <w:ind w:left="0" w:right="0" w:hanging="0"/>
    </w:pPr>
    <w:rPr>
      <w:b w:val="false"/>
      <w:bCs w:val="false"/>
      <w:color w:val="2F5496"/>
      <w:kern w:val="0"/>
    </w:rPr>
  </w:style>
  <w:style w:type="paragraph" w:styleId="Spistreci2">
    <w:name w:val="TOC 2"/>
    <w:basedOn w:val="Normal"/>
    <w:next w:val="Normal"/>
    <w:pPr>
      <w:spacing w:lineRule="auto" w:line="252" w:before="0" w:after="100"/>
      <w:ind w:left="220" w:right="0" w:hanging="0"/>
    </w:pPr>
    <w:rPr>
      <w:rFonts w:ascii="Calibri" w:hAnsi="Calibri" w:eastAsia="Times New Roman" w:cs="Calibri"/>
      <w:sz w:val="22"/>
      <w:szCs w:val="22"/>
    </w:rPr>
  </w:style>
  <w:style w:type="paragraph" w:styleId="Spistreci1">
    <w:name w:val="TOC 1"/>
    <w:basedOn w:val="Normal"/>
    <w:next w:val="Normal"/>
    <w:pPr>
      <w:spacing w:lineRule="auto" w:line="252" w:before="0" w:after="100"/>
    </w:pPr>
    <w:rPr>
      <w:rFonts w:ascii="Calibri" w:hAnsi="Calibri" w:eastAsia="Times New Roman" w:cs="Calibri"/>
      <w:sz w:val="22"/>
      <w:szCs w:val="22"/>
    </w:rPr>
  </w:style>
  <w:style w:type="paragraph" w:styleId="Spistreci3">
    <w:name w:val="TOC 3"/>
    <w:basedOn w:val="Normal"/>
    <w:next w:val="Normal"/>
    <w:pPr>
      <w:spacing w:lineRule="auto" w:line="252" w:before="0" w:after="100"/>
      <w:ind w:left="440" w:right="0" w:hanging="0"/>
    </w:pPr>
    <w:rPr>
      <w:rFonts w:ascii="Calibri" w:hAnsi="Calibri" w:eastAsia="Times New Roman" w:cs="Calibri"/>
      <w:sz w:val="22"/>
      <w:szCs w:val="22"/>
    </w:rPr>
  </w:style>
  <w:style w:type="paragraph" w:styleId="Zawartoramki">
    <w:name w:val="Zawartość ramki"/>
    <w:basedOn w:val="Normal"/>
    <w:qFormat/>
    <w:pPr/>
    <w:rPr/>
  </w:style>
  <w:style w:type="paragraph" w:styleId="Zawartotabeli">
    <w:name w:val="Zawartość tabeli"/>
    <w:basedOn w:val="Normal"/>
    <w:qFormat/>
    <w:pPr>
      <w:widowControl w:val="false"/>
      <w:suppressLineNumbers/>
      <w:bidi w:val="0"/>
      <w:jc w:val="left"/>
    </w:pPr>
    <w:rPr>
      <w:rFonts w:ascii="Liberation Serif" w:hAnsi="Liberation Serif" w:eastAsia="NSimSun" w:cs="Arial"/>
      <w:color w:val="auto"/>
      <w:kern w:val="0"/>
      <w:sz w:val="24"/>
      <w:szCs w:val="24"/>
      <w:lang w:val="pl-PL" w:eastAsia="zh-CN" w:bidi="hi-IN"/>
    </w:rPr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paragraph" w:styleId="Standard">
    <w:name w:val="Standard"/>
    <w:qFormat/>
    <w:pPr>
      <w:widowControl/>
      <w:suppressAutoHyphens w:val="true"/>
      <w:bidi w:val="0"/>
      <w:spacing w:lineRule="auto" w:line="276" w:before="0" w:after="200"/>
      <w:jc w:val="left"/>
      <w:textAlignment w:val="baseline"/>
    </w:pPr>
    <w:rPr>
      <w:rFonts w:ascii="Calibri" w:hAnsi="Calibri" w:eastAsia="Calibri" w:cs="Calibri"/>
      <w:color w:val="auto"/>
      <w:kern w:val="2"/>
      <w:sz w:val="22"/>
      <w:szCs w:val="22"/>
      <w:lang w:val="pl-PL" w:eastAsia="zh-CN" w:bidi="ar-SA"/>
    </w:rPr>
  </w:style>
  <w:style w:type="paragraph" w:styleId="Textbody">
    <w:name w:val="Text body"/>
    <w:basedOn w:val="Standard"/>
    <w:qFormat/>
    <w:pPr>
      <w:spacing w:before="0" w:after="140"/>
    </w:pPr>
    <w:rPr>
      <w:rFonts w:ascii="Liberation Serif;Times New Roman" w:hAnsi="Liberation Serif;Times New Roman" w:eastAsia="NSimSun" w:cs="Arial"/>
      <w:sz w:val="24"/>
      <w:szCs w:val="24"/>
      <w:lang w:bidi="hi-IN"/>
    </w:rPr>
  </w:style>
  <w:style w:type="paragraph" w:styleId="Nagwekwykazurde2">
    <w:name w:val="Nagłówek wykazu źródeł2"/>
    <w:basedOn w:val="Nagwek1"/>
    <w:next w:val="Normal"/>
    <w:qFormat/>
    <w:pPr>
      <w:keepLines/>
      <w:numPr>
        <w:ilvl w:val="0"/>
        <w:numId w:val="0"/>
      </w:numPr>
      <w:suppressAutoHyphens w:val="false"/>
      <w:spacing w:lineRule="auto" w:line="252" w:before="240" w:after="0"/>
      <w:ind w:left="0" w:right="0" w:hanging="0"/>
    </w:pPr>
    <w:rPr>
      <w:rFonts w:ascii="Calibri Light" w:hAnsi="Calibri Light" w:eastAsia="Times New Roman" w:cs="Times New Roman"/>
      <w:b w:val="false"/>
      <w:bCs w:val="false"/>
      <w:color w:val="2F5496"/>
      <w:kern w:val="0"/>
    </w:rPr>
  </w:style>
  <w:style w:type="paragraph" w:styleId="Tekst">
    <w:name w:val="tekst"/>
    <w:basedOn w:val="Normal"/>
    <w:qFormat/>
    <w:pPr>
      <w:widowControl w:val="false"/>
      <w:suppressAutoHyphens w:val="true"/>
      <w:ind w:left="708" w:right="0" w:hanging="0"/>
      <w:jc w:val="both"/>
    </w:pPr>
    <w:rPr>
      <w:rFonts w:ascii="Arial" w:hAnsi="Arial" w:eastAsia="Arial" w:cs="Arial"/>
      <w:szCs w:val="20"/>
    </w:rPr>
  </w:style>
  <w:style w:type="paragraph" w:styleId="TOAHeading">
    <w:name w:val="TOA Heading"/>
    <w:basedOn w:val="Nagwek"/>
    <w:qFormat/>
    <w:pPr>
      <w:suppressLineNumbers/>
      <w:ind w:left="0" w:hanging="0"/>
    </w:pPr>
    <w:rPr>
      <w:b/>
      <w:bCs/>
      <w:sz w:val="32"/>
      <w:szCs w:val="32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  <w:style w:type="numbering" w:styleId="WW8Num4">
    <w:name w:val="WW8Num4"/>
    <w:qFormat/>
  </w:style>
  <w:style w:type="numbering" w:styleId="WW8Num5">
    <w:name w:val="WW8Num5"/>
    <w:qFormat/>
  </w:style>
  <w:style w:type="numbering" w:styleId="WW8Num6">
    <w:name w:val="WW8Num6"/>
    <w:qFormat/>
  </w:style>
  <w:style w:type="numbering" w:styleId="WW8Num7">
    <w:name w:val="WW8Num7"/>
    <w:qFormat/>
  </w:style>
  <w:style w:type="numbering" w:styleId="WW8Num8">
    <w:name w:val="WW8Num8"/>
    <w:qFormat/>
  </w:style>
  <w:style w:type="numbering" w:styleId="WW8Num9">
    <w:name w:val="WW8Num9"/>
    <w:qFormat/>
  </w:style>
  <w:style w:type="numbering" w:styleId="WW8Num10">
    <w:name w:val="WW8Num10"/>
    <w:qFormat/>
  </w:style>
  <w:style w:type="numbering" w:styleId="WW8Num11">
    <w:name w:val="WW8Num11"/>
    <w:qFormat/>
  </w:style>
  <w:style w:type="numbering" w:styleId="WW8Num12">
    <w:name w:val="WW8Num12"/>
    <w:qFormat/>
  </w:style>
  <w:style w:type="numbering" w:styleId="WW8Num13">
    <w:name w:val="WW8Num13"/>
    <w:qFormat/>
  </w:style>
  <w:style w:type="numbering" w:styleId="WW8Num14">
    <w:name w:val="WW8Num14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Normal_x005F_x005F_x005F_x005F_x005F_x005F_x005F_x0000_</Template>
  <TotalTime>666</TotalTime>
  <Application>LibreOffice/6.1.2.1$Windows_X86_64 LibreOffice_project/65905a128db06ba48db947242809d14d3f9a93fe</Application>
  <Pages>20</Pages>
  <Words>2141</Words>
  <Characters>15481</Characters>
  <CharactersWithSpaces>17512</CharactersWithSpaces>
  <Paragraphs>172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2021-06-29T12:44:00Z</dcterms:created>
  <dc:creator>S.Kobylarz</dc:creator>
  <dc:description/>
  <dc:language>pl-PL</dc:language>
  <cp:lastModifiedBy/>
  <cp:lastPrinted>2023-01-25T05:50:00Z</cp:lastPrinted>
  <dcterms:modified xsi:type="dcterms:W3CDTF">2023-04-24T19:20:59Z</dcterms:modified>
  <cp:revision>169</cp:revision>
  <dc:subject/>
  <dc:title>Projekt Budowlany</dc:title>
</cp:coreProperties>
</file>