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03C94E00" w:rsidR="00462143" w:rsidRPr="002675B8" w:rsidRDefault="004169E5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  <w:r w:rsidRPr="002D2298">
        <w:rPr>
          <w:noProof/>
        </w:rPr>
        <w:drawing>
          <wp:inline distT="0" distB="0" distL="0" distR="0" wp14:anchorId="5CC207E7" wp14:editId="1AB601B6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4B94C860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4169E5" w:rsidRPr="00AD1AA1">
        <w:rPr>
          <w:rFonts w:ascii="Arial Narrow" w:hAnsi="Arial Narrow" w:cstheme="minorHAnsi"/>
          <w:b/>
          <w:bCs/>
          <w:color w:val="auto"/>
          <w:szCs w:val="24"/>
        </w:rPr>
        <w:t>Wyposażenie siedmiu placów zabaw w urządzenia umożliwiające korzystanie z nich przez osoby z niepełnosprawnościami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11</cp:revision>
  <cp:lastPrinted>2023-02-27T12:26:00Z</cp:lastPrinted>
  <dcterms:created xsi:type="dcterms:W3CDTF">2022-10-17T12:55:00Z</dcterms:created>
  <dcterms:modified xsi:type="dcterms:W3CDTF">2023-02-27T12:26:00Z</dcterms:modified>
</cp:coreProperties>
</file>